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A8CD5" w14:textId="330398AB" w:rsidR="007838C0" w:rsidRPr="00714496" w:rsidRDefault="00B17BA0" w:rsidP="00B17BA0">
      <w:pPr>
        <w:pStyle w:val="Heading1"/>
        <w:rPr>
          <w:rFonts w:ascii="Arial" w:hAnsi="Arial" w:cs="Arial"/>
        </w:rPr>
      </w:pPr>
      <w:r w:rsidRPr="2E147B9D">
        <w:rPr>
          <w:rFonts w:ascii="Arial" w:hAnsi="Arial" w:cs="Arial"/>
        </w:rPr>
        <w:t>Terms of Reference (</w:t>
      </w:r>
      <w:proofErr w:type="spellStart"/>
      <w:r w:rsidRPr="2E147B9D">
        <w:rPr>
          <w:rFonts w:ascii="Arial" w:hAnsi="Arial" w:cs="Arial"/>
        </w:rPr>
        <w:t>ToR</w:t>
      </w:r>
      <w:proofErr w:type="spellEnd"/>
      <w:r w:rsidRPr="2E147B9D">
        <w:rPr>
          <w:rFonts w:ascii="Arial" w:hAnsi="Arial" w:cs="Arial"/>
        </w:rPr>
        <w:t xml:space="preserve">) for </w:t>
      </w:r>
      <w:r w:rsidR="00DE79D2">
        <w:rPr>
          <w:rFonts w:ascii="Arial" w:hAnsi="Arial" w:cs="Arial"/>
        </w:rPr>
        <w:t xml:space="preserve">Needs Assessment &amp; Outcome in </w:t>
      </w:r>
      <w:r w:rsidR="001D2962" w:rsidRPr="001D2962">
        <w:rPr>
          <w:rFonts w:ascii="Arial" w:hAnsi="Arial" w:cs="Arial"/>
        </w:rPr>
        <w:t>Sudan</w:t>
      </w:r>
      <w:r w:rsidRPr="2E147B9D">
        <w:rPr>
          <w:rFonts w:ascii="Arial" w:hAnsi="Arial" w:cs="Arial"/>
        </w:rPr>
        <w:t>.</w:t>
      </w:r>
    </w:p>
    <w:tbl>
      <w:tblPr>
        <w:tblpPr w:leftFromText="141" w:rightFromText="141" w:vertAnchor="text" w:horzAnchor="margin" w:tblpY="3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9"/>
      </w:tblGrid>
      <w:tr w:rsidR="0026104C" w:rsidRPr="00714496" w14:paraId="6700DC7F" w14:textId="77777777" w:rsidTr="28D02C3F">
        <w:trPr>
          <w:trHeight w:val="20"/>
        </w:trPr>
        <w:tc>
          <w:tcPr>
            <w:tcW w:w="2263" w:type="dxa"/>
            <w:shd w:val="clear" w:color="auto" w:fill="156082" w:themeFill="accent1"/>
          </w:tcPr>
          <w:p w14:paraId="49191BC8" w14:textId="77777777" w:rsidR="0026104C" w:rsidRPr="00714496" w:rsidRDefault="0026104C" w:rsidP="008C4E74">
            <w:pPr>
              <w:spacing w:after="0"/>
              <w:rPr>
                <w:rFonts w:ascii="Arial" w:eastAsia="Times New Roman" w:hAnsi="Arial" w:cs="Arial"/>
                <w:bCs/>
                <w:color w:val="FFFFFF" w:themeColor="background1"/>
                <w:sz w:val="20"/>
                <w:szCs w:val="20"/>
                <w:lang w:val="en-GB"/>
              </w:rPr>
            </w:pPr>
            <w:r w:rsidRPr="00714496">
              <w:rPr>
                <w:rFonts w:ascii="Arial" w:eastAsia="Times New Roman" w:hAnsi="Arial" w:cs="Arial"/>
                <w:bCs/>
                <w:color w:val="FFFFFF" w:themeColor="background1"/>
                <w:sz w:val="20"/>
                <w:szCs w:val="20"/>
                <w:lang w:val="en-GB"/>
              </w:rPr>
              <w:t>Purpose</w:t>
            </w:r>
          </w:p>
        </w:tc>
        <w:tc>
          <w:tcPr>
            <w:tcW w:w="6799" w:type="dxa"/>
          </w:tcPr>
          <w:p w14:paraId="634B9E32" w14:textId="422B41B9" w:rsidR="0026104C" w:rsidRPr="00DE79D2" w:rsidRDefault="0026104C" w:rsidP="28D02C3F">
            <w:pPr>
              <w:spacing w:after="0"/>
              <w:rPr>
                <w:rFonts w:ascii="Arial" w:hAnsi="Arial" w:cs="Arial"/>
                <w:sz w:val="20"/>
                <w:szCs w:val="20"/>
              </w:rPr>
            </w:pPr>
            <w:r w:rsidRPr="28D02C3F">
              <w:rPr>
                <w:rFonts w:ascii="Arial" w:eastAsia="Times New Roman" w:hAnsi="Arial" w:cs="Arial"/>
                <w:sz w:val="20"/>
                <w:szCs w:val="20"/>
                <w:lang w:val="en-GB"/>
              </w:rPr>
              <w:t xml:space="preserve">The </w:t>
            </w:r>
            <w:r w:rsidR="001D2962" w:rsidRPr="008515AB">
              <w:rPr>
                <w:rFonts w:ascii="Arial" w:eastAsia="Times New Roman" w:hAnsi="Arial" w:cs="Arial"/>
                <w:color w:val="000000" w:themeColor="text1"/>
                <w:sz w:val="20"/>
                <w:szCs w:val="20"/>
                <w:lang w:val="en-GB"/>
              </w:rPr>
              <w:t>Sudanese Red Crescent</w:t>
            </w:r>
            <w:r w:rsidR="004D5162" w:rsidRPr="008515AB">
              <w:rPr>
                <w:rFonts w:ascii="Arial" w:eastAsia="Times New Roman" w:hAnsi="Arial" w:cs="Arial"/>
                <w:color w:val="000000" w:themeColor="text1"/>
                <w:sz w:val="20"/>
                <w:szCs w:val="20"/>
                <w:lang w:val="en-GB"/>
              </w:rPr>
              <w:t xml:space="preserve"> </w:t>
            </w:r>
            <w:r w:rsidR="004D5162" w:rsidRPr="28D02C3F">
              <w:rPr>
                <w:rFonts w:ascii="Arial" w:eastAsia="Times New Roman" w:hAnsi="Arial" w:cs="Arial"/>
                <w:sz w:val="20"/>
                <w:szCs w:val="20"/>
                <w:lang w:val="en-GB"/>
              </w:rPr>
              <w:t xml:space="preserve">and the </w:t>
            </w:r>
            <w:r w:rsidRPr="28D02C3F">
              <w:rPr>
                <w:rFonts w:ascii="Arial" w:eastAsia="Times New Roman" w:hAnsi="Arial" w:cs="Arial"/>
                <w:sz w:val="20"/>
                <w:szCs w:val="20"/>
                <w:lang w:val="en-GB"/>
              </w:rPr>
              <w:t xml:space="preserve">Norwegian Red Cross </w:t>
            </w:r>
            <w:r w:rsidR="0020274C" w:rsidRPr="28D02C3F">
              <w:rPr>
                <w:rFonts w:ascii="Arial" w:eastAsia="Times New Roman" w:hAnsi="Arial" w:cs="Arial"/>
                <w:sz w:val="20"/>
                <w:szCs w:val="20"/>
                <w:lang w:val="en-GB"/>
              </w:rPr>
              <w:t>(</w:t>
            </w:r>
            <w:proofErr w:type="spellStart"/>
            <w:r w:rsidR="0020274C" w:rsidRPr="28D02C3F">
              <w:rPr>
                <w:rFonts w:ascii="Arial" w:eastAsia="Times New Roman" w:hAnsi="Arial" w:cs="Arial"/>
                <w:sz w:val="20"/>
                <w:szCs w:val="20"/>
                <w:lang w:val="en-GB"/>
              </w:rPr>
              <w:t>N</w:t>
            </w:r>
            <w:r w:rsidR="008515AB">
              <w:rPr>
                <w:rFonts w:ascii="Arial" w:eastAsia="Times New Roman" w:hAnsi="Arial" w:cs="Arial"/>
                <w:sz w:val="20"/>
                <w:szCs w:val="20"/>
                <w:lang w:val="en-GB"/>
              </w:rPr>
              <w:t>oRC</w:t>
            </w:r>
            <w:proofErr w:type="spellEnd"/>
            <w:r w:rsidR="0020274C" w:rsidRPr="28D02C3F">
              <w:rPr>
                <w:rFonts w:ascii="Arial" w:eastAsia="Times New Roman" w:hAnsi="Arial" w:cs="Arial"/>
                <w:sz w:val="20"/>
                <w:szCs w:val="20"/>
                <w:lang w:val="en-GB"/>
              </w:rPr>
              <w:t xml:space="preserve">) </w:t>
            </w:r>
            <w:r w:rsidR="005547A5" w:rsidRPr="28D02C3F">
              <w:rPr>
                <w:rFonts w:ascii="Arial" w:eastAsia="Times New Roman" w:hAnsi="Arial" w:cs="Arial"/>
                <w:sz w:val="20"/>
                <w:szCs w:val="20"/>
                <w:lang w:val="en-GB"/>
              </w:rPr>
              <w:t>are</w:t>
            </w:r>
            <w:r w:rsidRPr="28D02C3F">
              <w:rPr>
                <w:rFonts w:ascii="Arial" w:eastAsia="Times New Roman" w:hAnsi="Arial" w:cs="Arial"/>
                <w:sz w:val="20"/>
                <w:szCs w:val="20"/>
                <w:lang w:val="en-GB"/>
              </w:rPr>
              <w:t xml:space="preserve"> planning to hire a consultant to conduct</w:t>
            </w:r>
            <w:r w:rsidR="00EA50A2" w:rsidRPr="28D02C3F">
              <w:rPr>
                <w:rFonts w:ascii="Arial" w:eastAsia="Times New Roman" w:hAnsi="Arial" w:cs="Arial"/>
                <w:sz w:val="20"/>
                <w:szCs w:val="20"/>
                <w:lang w:val="en-GB"/>
              </w:rPr>
              <w:t xml:space="preserve"> </w:t>
            </w:r>
            <w:r w:rsidR="00DE79D2" w:rsidRPr="28D02C3F">
              <w:rPr>
                <w:rFonts w:ascii="Arial" w:eastAsia="Times New Roman" w:hAnsi="Arial" w:cs="Arial"/>
                <w:sz w:val="20"/>
                <w:szCs w:val="20"/>
                <w:lang w:val="en-GB"/>
              </w:rPr>
              <w:t xml:space="preserve">a needs assessment and outcome monitoring </w:t>
            </w:r>
            <w:r w:rsidRPr="28D02C3F">
              <w:rPr>
                <w:rFonts w:ascii="Arial" w:eastAsia="Times New Roman" w:hAnsi="Arial" w:cs="Arial"/>
                <w:sz w:val="20"/>
                <w:szCs w:val="20"/>
                <w:lang w:val="en-GB"/>
              </w:rPr>
              <w:t>related to health</w:t>
            </w:r>
            <w:r w:rsidR="00DE79D2" w:rsidRPr="28D02C3F">
              <w:rPr>
                <w:rFonts w:ascii="Arial" w:eastAsia="Times New Roman" w:hAnsi="Arial" w:cs="Arial"/>
                <w:sz w:val="20"/>
                <w:szCs w:val="20"/>
                <w:lang w:val="en-GB"/>
              </w:rPr>
              <w:t xml:space="preserve">, cash and protection </w:t>
            </w:r>
            <w:r w:rsidRPr="28D02C3F">
              <w:rPr>
                <w:rFonts w:ascii="Arial" w:eastAsia="Times New Roman" w:hAnsi="Arial" w:cs="Arial"/>
                <w:sz w:val="20"/>
                <w:szCs w:val="20"/>
                <w:lang w:val="en-GB"/>
              </w:rPr>
              <w:t xml:space="preserve">in </w:t>
            </w:r>
            <w:r w:rsidR="00D954F2">
              <w:rPr>
                <w:rFonts w:ascii="Arial" w:eastAsia="Times New Roman" w:hAnsi="Arial" w:cs="Arial"/>
                <w:sz w:val="20"/>
                <w:szCs w:val="20"/>
                <w:lang w:val="en-GB"/>
              </w:rPr>
              <w:t xml:space="preserve">Kassala, </w:t>
            </w:r>
            <w:proofErr w:type="spellStart"/>
            <w:r w:rsidR="00D954F2">
              <w:rPr>
                <w:rFonts w:ascii="Arial" w:eastAsia="Times New Roman" w:hAnsi="Arial" w:cs="Arial"/>
                <w:sz w:val="20"/>
                <w:szCs w:val="20"/>
                <w:lang w:val="en-GB"/>
              </w:rPr>
              <w:t>Gedaref</w:t>
            </w:r>
            <w:proofErr w:type="spellEnd"/>
            <w:r w:rsidR="00D954F2">
              <w:rPr>
                <w:rFonts w:ascii="Arial" w:eastAsia="Times New Roman" w:hAnsi="Arial" w:cs="Arial"/>
                <w:sz w:val="20"/>
                <w:szCs w:val="20"/>
                <w:lang w:val="en-GB"/>
              </w:rPr>
              <w:t xml:space="preserve">, </w:t>
            </w:r>
            <w:proofErr w:type="spellStart"/>
            <w:r w:rsidR="00D954F2">
              <w:rPr>
                <w:rFonts w:ascii="Arial" w:eastAsia="Times New Roman" w:hAnsi="Arial" w:cs="Arial"/>
                <w:sz w:val="20"/>
                <w:szCs w:val="20"/>
                <w:lang w:val="en-GB"/>
              </w:rPr>
              <w:t>Sennar</w:t>
            </w:r>
            <w:proofErr w:type="spellEnd"/>
            <w:r w:rsidR="00D954F2">
              <w:rPr>
                <w:rFonts w:ascii="Arial" w:eastAsia="Times New Roman" w:hAnsi="Arial" w:cs="Arial"/>
                <w:sz w:val="20"/>
                <w:szCs w:val="20"/>
                <w:lang w:val="en-GB"/>
              </w:rPr>
              <w:t xml:space="preserve">, Al Jazirah, White Nile, Khartoum, </w:t>
            </w:r>
            <w:proofErr w:type="spellStart"/>
            <w:r w:rsidR="00D954F2">
              <w:rPr>
                <w:rFonts w:ascii="Arial" w:eastAsia="Times New Roman" w:hAnsi="Arial" w:cs="Arial"/>
                <w:sz w:val="20"/>
                <w:szCs w:val="20"/>
                <w:lang w:val="en-GB"/>
              </w:rPr>
              <w:t>Zalingi</w:t>
            </w:r>
            <w:proofErr w:type="spellEnd"/>
            <w:r w:rsidR="00D954F2">
              <w:rPr>
                <w:rFonts w:ascii="Arial" w:eastAsia="Times New Roman" w:hAnsi="Arial" w:cs="Arial"/>
                <w:sz w:val="20"/>
                <w:szCs w:val="20"/>
                <w:lang w:val="en-GB"/>
              </w:rPr>
              <w:t xml:space="preserve"> and Nayala</w:t>
            </w:r>
            <w:r w:rsidRPr="28D02C3F">
              <w:rPr>
                <w:rFonts w:ascii="Arial" w:eastAsia="Times New Roman" w:hAnsi="Arial" w:cs="Arial"/>
                <w:sz w:val="20"/>
                <w:szCs w:val="20"/>
                <w:lang w:val="en-GB"/>
              </w:rPr>
              <w:t xml:space="preserve">. </w:t>
            </w:r>
            <w:r w:rsidR="00DE79D2" w:rsidRPr="00DE79D2">
              <w:rPr>
                <w:rFonts w:ascii="Times New Roman" w:eastAsia="Times New Roman" w:hAnsi="Times New Roman" w:cs="Times New Roman"/>
                <w:kern w:val="0"/>
                <w:sz w:val="24"/>
                <w:szCs w:val="24"/>
                <w14:ligatures w14:val="none"/>
              </w:rPr>
              <w:t xml:space="preserve"> </w:t>
            </w:r>
            <w:r w:rsidR="00DE79D2" w:rsidRPr="28D02C3F">
              <w:rPr>
                <w:rFonts w:ascii="Arial" w:hAnsi="Arial" w:cs="Arial"/>
                <w:sz w:val="20"/>
                <w:szCs w:val="20"/>
              </w:rPr>
              <w:t>The assessment aims to collect and document data on the needs of the affected population while evaluating the impact of previous interventions in the specified location</w:t>
            </w:r>
            <w:r w:rsidR="62AF27A2" w:rsidRPr="28D02C3F">
              <w:rPr>
                <w:rFonts w:ascii="Arial" w:hAnsi="Arial" w:cs="Arial"/>
                <w:sz w:val="20"/>
                <w:szCs w:val="20"/>
              </w:rPr>
              <w:t>s</w:t>
            </w:r>
            <w:r w:rsidR="00DE79D2" w:rsidRPr="28D02C3F">
              <w:rPr>
                <w:rFonts w:ascii="Arial" w:hAnsi="Arial" w:cs="Arial"/>
                <w:sz w:val="20"/>
                <w:szCs w:val="20"/>
              </w:rPr>
              <w:t>. By providing insights into the context, humanitarian needs, and provision of key recommendations, this assessment seeks to promote informed decision-making and contribute to effective programmatic design.</w:t>
            </w:r>
          </w:p>
        </w:tc>
      </w:tr>
      <w:tr w:rsidR="0026104C" w:rsidRPr="00714496" w14:paraId="05C8E536" w14:textId="77777777" w:rsidTr="28D02C3F">
        <w:trPr>
          <w:trHeight w:val="20"/>
        </w:trPr>
        <w:tc>
          <w:tcPr>
            <w:tcW w:w="2263" w:type="dxa"/>
            <w:shd w:val="clear" w:color="auto" w:fill="156082" w:themeFill="accent1"/>
          </w:tcPr>
          <w:p w14:paraId="66B83BB2" w14:textId="77777777" w:rsidR="0026104C" w:rsidRPr="00714496" w:rsidRDefault="0026104C" w:rsidP="008C4E74">
            <w:pPr>
              <w:spacing w:after="0"/>
              <w:rPr>
                <w:rFonts w:ascii="Arial" w:eastAsia="Times New Roman" w:hAnsi="Arial" w:cs="Arial"/>
                <w:bCs/>
                <w:color w:val="FFFFFF" w:themeColor="background1"/>
                <w:sz w:val="20"/>
                <w:szCs w:val="20"/>
                <w:lang w:val="en-GB"/>
              </w:rPr>
            </w:pPr>
            <w:r w:rsidRPr="00714496">
              <w:rPr>
                <w:rFonts w:ascii="Arial" w:eastAsia="Times New Roman" w:hAnsi="Arial" w:cs="Arial"/>
                <w:bCs/>
                <w:color w:val="FFFFFF" w:themeColor="background1"/>
                <w:sz w:val="20"/>
                <w:szCs w:val="20"/>
                <w:lang w:val="en-GB"/>
              </w:rPr>
              <w:t>Commissioners</w:t>
            </w:r>
          </w:p>
        </w:tc>
        <w:tc>
          <w:tcPr>
            <w:tcW w:w="6799" w:type="dxa"/>
          </w:tcPr>
          <w:p w14:paraId="44D6F6DA" w14:textId="6285B2A8" w:rsidR="0026104C" w:rsidRPr="00714496" w:rsidRDefault="0026104C" w:rsidP="28D02C3F">
            <w:pPr>
              <w:spacing w:after="0"/>
              <w:rPr>
                <w:rFonts w:ascii="Arial" w:eastAsia="Times New Roman" w:hAnsi="Arial" w:cs="Arial"/>
                <w:sz w:val="20"/>
                <w:szCs w:val="20"/>
                <w:lang w:val="en-GB"/>
              </w:rPr>
            </w:pPr>
            <w:r w:rsidRPr="28D02C3F">
              <w:rPr>
                <w:rFonts w:ascii="Arial" w:eastAsia="Times New Roman" w:hAnsi="Arial" w:cs="Arial"/>
                <w:sz w:val="20"/>
                <w:szCs w:val="20"/>
                <w:lang w:val="en-GB"/>
              </w:rPr>
              <w:t xml:space="preserve">This </w:t>
            </w:r>
            <w:r w:rsidR="38EEF5FE" w:rsidRPr="28D02C3F">
              <w:rPr>
                <w:rFonts w:ascii="Arial" w:eastAsia="Times New Roman" w:hAnsi="Arial" w:cs="Arial"/>
                <w:sz w:val="20"/>
                <w:szCs w:val="20"/>
                <w:lang w:val="en-GB"/>
              </w:rPr>
              <w:t>assessment</w:t>
            </w:r>
            <w:r w:rsidRPr="28D02C3F">
              <w:rPr>
                <w:rFonts w:ascii="Arial" w:eastAsia="Times New Roman" w:hAnsi="Arial" w:cs="Arial"/>
                <w:sz w:val="20"/>
                <w:szCs w:val="20"/>
                <w:lang w:val="en-GB"/>
              </w:rPr>
              <w:t xml:space="preserve"> is commissioned </w:t>
            </w:r>
            <w:r w:rsidR="00DB33E1" w:rsidRPr="28D02C3F">
              <w:rPr>
                <w:rFonts w:ascii="Arial" w:eastAsia="Times New Roman" w:hAnsi="Arial" w:cs="Arial"/>
                <w:sz w:val="20"/>
                <w:szCs w:val="20"/>
                <w:lang w:val="en-GB"/>
              </w:rPr>
              <w:t xml:space="preserve">jointly </w:t>
            </w:r>
            <w:r w:rsidRPr="28D02C3F">
              <w:rPr>
                <w:rFonts w:ascii="Arial" w:eastAsia="Times New Roman" w:hAnsi="Arial" w:cs="Arial"/>
                <w:sz w:val="20"/>
                <w:szCs w:val="20"/>
                <w:lang w:val="en-GB"/>
              </w:rPr>
              <w:t>by the Norwegian Red Cross</w:t>
            </w:r>
            <w:r w:rsidR="00804185" w:rsidRPr="28D02C3F">
              <w:rPr>
                <w:rFonts w:ascii="Arial" w:eastAsia="Times New Roman" w:hAnsi="Arial" w:cs="Arial"/>
                <w:sz w:val="20"/>
                <w:szCs w:val="20"/>
                <w:lang w:val="en-GB"/>
              </w:rPr>
              <w:t xml:space="preserve"> and</w:t>
            </w:r>
            <w:r w:rsidR="005547A5" w:rsidRPr="28D02C3F">
              <w:rPr>
                <w:rFonts w:ascii="Arial" w:eastAsia="Times New Roman" w:hAnsi="Arial" w:cs="Arial"/>
                <w:sz w:val="20"/>
                <w:szCs w:val="20"/>
                <w:lang w:val="en-GB"/>
              </w:rPr>
              <w:t xml:space="preserve"> </w:t>
            </w:r>
            <w:r w:rsidR="001D2962" w:rsidRPr="00165B14">
              <w:rPr>
                <w:rFonts w:ascii="Arial" w:eastAsia="Times New Roman" w:hAnsi="Arial" w:cs="Arial"/>
                <w:color w:val="000000" w:themeColor="text1"/>
                <w:sz w:val="20"/>
                <w:szCs w:val="20"/>
                <w:lang w:val="en-GB"/>
              </w:rPr>
              <w:t>Sudanese Red Crescent</w:t>
            </w:r>
            <w:r w:rsidR="00165B14">
              <w:rPr>
                <w:rFonts w:ascii="Arial" w:eastAsia="Times New Roman" w:hAnsi="Arial" w:cs="Arial"/>
                <w:color w:val="000000" w:themeColor="text1"/>
                <w:sz w:val="20"/>
                <w:szCs w:val="20"/>
                <w:lang w:val="en-GB"/>
              </w:rPr>
              <w:t>.</w:t>
            </w:r>
          </w:p>
        </w:tc>
      </w:tr>
      <w:tr w:rsidR="0026104C" w:rsidRPr="00714496" w14:paraId="5088C8A8" w14:textId="77777777" w:rsidTr="28D02C3F">
        <w:trPr>
          <w:trHeight w:val="20"/>
        </w:trPr>
        <w:tc>
          <w:tcPr>
            <w:tcW w:w="2263" w:type="dxa"/>
            <w:shd w:val="clear" w:color="auto" w:fill="156082" w:themeFill="accent1"/>
          </w:tcPr>
          <w:p w14:paraId="070DFE32" w14:textId="77777777" w:rsidR="0026104C" w:rsidRPr="00714496" w:rsidRDefault="0026104C" w:rsidP="008C4E74">
            <w:pPr>
              <w:spacing w:after="0"/>
              <w:rPr>
                <w:rFonts w:ascii="Arial" w:eastAsia="Times New Roman" w:hAnsi="Arial" w:cs="Arial"/>
                <w:bCs/>
                <w:color w:val="FFFFFF" w:themeColor="background1"/>
                <w:sz w:val="20"/>
                <w:szCs w:val="20"/>
                <w:lang w:val="en-GB"/>
              </w:rPr>
            </w:pPr>
            <w:r w:rsidRPr="00714496">
              <w:rPr>
                <w:rFonts w:ascii="Arial" w:eastAsia="Times New Roman" w:hAnsi="Arial" w:cs="Arial"/>
                <w:bCs/>
                <w:color w:val="FFFFFF" w:themeColor="background1"/>
                <w:sz w:val="20"/>
                <w:szCs w:val="20"/>
                <w:lang w:val="en-GB"/>
              </w:rPr>
              <w:t>Reports to</w:t>
            </w:r>
          </w:p>
        </w:tc>
        <w:tc>
          <w:tcPr>
            <w:tcW w:w="6799" w:type="dxa"/>
          </w:tcPr>
          <w:p w14:paraId="3EDD72C5" w14:textId="0EB10618" w:rsidR="0026104C" w:rsidRPr="00714496" w:rsidRDefault="001D2962" w:rsidP="008C4E74">
            <w:pPr>
              <w:spacing w:after="0"/>
              <w:rPr>
                <w:rFonts w:ascii="Arial" w:eastAsia="Times New Roman" w:hAnsi="Arial" w:cs="Arial"/>
                <w:bCs/>
                <w:sz w:val="20"/>
                <w:szCs w:val="20"/>
                <w:lang w:val="en-GB"/>
              </w:rPr>
            </w:pPr>
            <w:r>
              <w:rPr>
                <w:rFonts w:ascii="Arial" w:eastAsia="Times New Roman" w:hAnsi="Arial" w:cs="Arial"/>
                <w:bCs/>
                <w:sz w:val="20"/>
                <w:szCs w:val="20"/>
                <w:lang w:val="en-GB"/>
              </w:rPr>
              <w:t>Sudan</w:t>
            </w:r>
            <w:r w:rsidR="0026104C" w:rsidRPr="00714496">
              <w:rPr>
                <w:rFonts w:ascii="Arial" w:eastAsia="Times New Roman" w:hAnsi="Arial" w:cs="Arial"/>
                <w:bCs/>
                <w:sz w:val="20"/>
                <w:szCs w:val="20"/>
                <w:lang w:val="en-GB"/>
              </w:rPr>
              <w:t xml:space="preserve"> Manager – Norwegian Red Cross</w:t>
            </w:r>
          </w:p>
        </w:tc>
      </w:tr>
      <w:tr w:rsidR="0026104C" w:rsidRPr="00714496" w14:paraId="05EF489C" w14:textId="77777777" w:rsidTr="28D02C3F">
        <w:trPr>
          <w:trHeight w:val="20"/>
        </w:trPr>
        <w:tc>
          <w:tcPr>
            <w:tcW w:w="2263" w:type="dxa"/>
            <w:shd w:val="clear" w:color="auto" w:fill="156082" w:themeFill="accent1"/>
          </w:tcPr>
          <w:p w14:paraId="2A86ADBF" w14:textId="77777777" w:rsidR="0026104C" w:rsidRPr="00714496" w:rsidRDefault="0026104C" w:rsidP="008C4E74">
            <w:pPr>
              <w:spacing w:after="0"/>
              <w:rPr>
                <w:rFonts w:ascii="Arial" w:eastAsia="Times New Roman" w:hAnsi="Arial" w:cs="Arial"/>
                <w:bCs/>
                <w:color w:val="FFFFFF" w:themeColor="background1"/>
                <w:sz w:val="20"/>
                <w:szCs w:val="20"/>
                <w:lang w:val="en-GB"/>
              </w:rPr>
            </w:pPr>
            <w:r w:rsidRPr="00714496">
              <w:rPr>
                <w:rFonts w:ascii="Arial" w:eastAsia="Times New Roman" w:hAnsi="Arial" w:cs="Arial"/>
                <w:bCs/>
                <w:color w:val="FFFFFF" w:themeColor="background1"/>
                <w:sz w:val="20"/>
                <w:szCs w:val="20"/>
                <w:lang w:val="en-GB"/>
              </w:rPr>
              <w:t>Duration</w:t>
            </w:r>
          </w:p>
        </w:tc>
        <w:tc>
          <w:tcPr>
            <w:tcW w:w="6799" w:type="dxa"/>
          </w:tcPr>
          <w:p w14:paraId="0BC454A1" w14:textId="4E2BECFB" w:rsidR="0026104C" w:rsidRPr="00714496" w:rsidRDefault="00B35DD7" w:rsidP="008C4E74">
            <w:pPr>
              <w:spacing w:after="0"/>
              <w:rPr>
                <w:rFonts w:ascii="Arial" w:eastAsia="Times New Roman" w:hAnsi="Arial" w:cs="Arial"/>
                <w:bCs/>
                <w:sz w:val="20"/>
                <w:szCs w:val="20"/>
                <w:lang w:val="en-GB"/>
              </w:rPr>
            </w:pPr>
            <w:r>
              <w:rPr>
                <w:rFonts w:ascii="Arial" w:eastAsia="Times New Roman" w:hAnsi="Arial" w:cs="Arial"/>
                <w:bCs/>
                <w:sz w:val="20"/>
                <w:szCs w:val="20"/>
                <w:lang w:val="en-GB"/>
              </w:rPr>
              <w:t>1.5</w:t>
            </w:r>
            <w:r w:rsidR="00021640" w:rsidRPr="00714496">
              <w:rPr>
                <w:rFonts w:ascii="Arial" w:eastAsia="Times New Roman" w:hAnsi="Arial" w:cs="Arial"/>
                <w:bCs/>
                <w:sz w:val="20"/>
                <w:szCs w:val="20"/>
                <w:lang w:val="en-GB"/>
              </w:rPr>
              <w:t xml:space="preserve"> Months </w:t>
            </w:r>
            <w:r w:rsidR="001D2962">
              <w:rPr>
                <w:rFonts w:ascii="Arial" w:eastAsia="Times New Roman" w:hAnsi="Arial" w:cs="Arial"/>
                <w:bCs/>
                <w:sz w:val="20"/>
                <w:szCs w:val="20"/>
                <w:lang w:val="en-GB"/>
              </w:rPr>
              <w:t xml:space="preserve"> </w:t>
            </w:r>
            <w:r w:rsidR="001D2962">
              <w:t xml:space="preserve"> </w:t>
            </w:r>
          </w:p>
        </w:tc>
      </w:tr>
      <w:tr w:rsidR="0026104C" w:rsidRPr="00714496" w14:paraId="610BB1DB" w14:textId="77777777" w:rsidTr="28D02C3F">
        <w:trPr>
          <w:trHeight w:val="20"/>
        </w:trPr>
        <w:tc>
          <w:tcPr>
            <w:tcW w:w="2263" w:type="dxa"/>
            <w:shd w:val="clear" w:color="auto" w:fill="156082" w:themeFill="accent1"/>
          </w:tcPr>
          <w:p w14:paraId="47C12AEA" w14:textId="77777777" w:rsidR="0026104C" w:rsidRPr="00714496" w:rsidRDefault="0026104C" w:rsidP="008C4E74">
            <w:pPr>
              <w:spacing w:after="0"/>
              <w:rPr>
                <w:rFonts w:ascii="Arial" w:eastAsia="Times New Roman" w:hAnsi="Arial" w:cs="Arial"/>
                <w:bCs/>
                <w:color w:val="FFFFFF" w:themeColor="background1"/>
                <w:sz w:val="20"/>
                <w:szCs w:val="20"/>
                <w:lang w:val="en-GB"/>
              </w:rPr>
            </w:pPr>
            <w:r w:rsidRPr="00714496">
              <w:rPr>
                <w:rFonts w:ascii="Arial" w:eastAsia="Times New Roman" w:hAnsi="Arial" w:cs="Arial"/>
                <w:bCs/>
                <w:color w:val="FFFFFF" w:themeColor="background1"/>
                <w:sz w:val="20"/>
                <w:szCs w:val="20"/>
                <w:lang w:val="en-GB"/>
              </w:rPr>
              <w:t>Timeframe</w:t>
            </w:r>
          </w:p>
        </w:tc>
        <w:tc>
          <w:tcPr>
            <w:tcW w:w="6799" w:type="dxa"/>
          </w:tcPr>
          <w:p w14:paraId="58982D38" w14:textId="7ECB9890" w:rsidR="0026104C" w:rsidRPr="00714496" w:rsidRDefault="00165B14" w:rsidP="008C4E74">
            <w:pPr>
              <w:spacing w:after="0"/>
              <w:rPr>
                <w:rFonts w:ascii="Arial" w:eastAsia="Times New Roman" w:hAnsi="Arial" w:cs="Arial"/>
                <w:bCs/>
                <w:sz w:val="20"/>
                <w:szCs w:val="20"/>
                <w:lang w:val="en-GB"/>
              </w:rPr>
            </w:pPr>
            <w:r>
              <w:rPr>
                <w:rFonts w:ascii="Arial" w:eastAsia="Times New Roman" w:hAnsi="Arial" w:cs="Arial"/>
                <w:bCs/>
                <w:sz w:val="20"/>
                <w:szCs w:val="20"/>
                <w:lang w:val="en-GB"/>
              </w:rPr>
              <w:t>Mid-April</w:t>
            </w:r>
            <w:r w:rsidR="00B35DD7">
              <w:rPr>
                <w:rFonts w:ascii="Arial" w:eastAsia="Times New Roman" w:hAnsi="Arial" w:cs="Arial"/>
                <w:bCs/>
                <w:sz w:val="20"/>
                <w:szCs w:val="20"/>
                <w:lang w:val="en-GB"/>
              </w:rPr>
              <w:t>- End of May</w:t>
            </w:r>
          </w:p>
        </w:tc>
      </w:tr>
      <w:tr w:rsidR="0026104C" w:rsidRPr="00714496" w14:paraId="2F606FB4" w14:textId="77777777" w:rsidTr="28D02C3F">
        <w:trPr>
          <w:trHeight w:val="20"/>
        </w:trPr>
        <w:tc>
          <w:tcPr>
            <w:tcW w:w="2263" w:type="dxa"/>
            <w:shd w:val="clear" w:color="auto" w:fill="156082" w:themeFill="accent1"/>
          </w:tcPr>
          <w:p w14:paraId="18B309B5" w14:textId="77777777" w:rsidR="0026104C" w:rsidRPr="00714496" w:rsidRDefault="0026104C" w:rsidP="008C4E74">
            <w:pPr>
              <w:spacing w:after="0"/>
              <w:rPr>
                <w:rFonts w:ascii="Arial" w:eastAsia="Times New Roman" w:hAnsi="Arial" w:cs="Arial"/>
                <w:bCs/>
                <w:color w:val="FFFFFF" w:themeColor="background1"/>
                <w:sz w:val="20"/>
                <w:szCs w:val="20"/>
                <w:lang w:val="en-GB"/>
              </w:rPr>
            </w:pPr>
            <w:r w:rsidRPr="00714496">
              <w:rPr>
                <w:rFonts w:ascii="Arial" w:eastAsia="Times New Roman" w:hAnsi="Arial" w:cs="Arial"/>
                <w:bCs/>
                <w:color w:val="FFFFFF" w:themeColor="background1"/>
                <w:sz w:val="20"/>
                <w:szCs w:val="20"/>
                <w:lang w:val="en-GB"/>
              </w:rPr>
              <w:t>Methodology summary</w:t>
            </w:r>
          </w:p>
        </w:tc>
        <w:tc>
          <w:tcPr>
            <w:tcW w:w="6799" w:type="dxa"/>
          </w:tcPr>
          <w:p w14:paraId="278834DB" w14:textId="61A71E09" w:rsidR="0026104C" w:rsidRPr="00714496" w:rsidRDefault="005667FE" w:rsidP="008C4E74">
            <w:pPr>
              <w:spacing w:after="0"/>
              <w:rPr>
                <w:rFonts w:ascii="Arial" w:eastAsia="Times New Roman" w:hAnsi="Arial" w:cs="Arial"/>
                <w:bCs/>
                <w:sz w:val="20"/>
                <w:szCs w:val="20"/>
                <w:lang w:val="en-GB"/>
              </w:rPr>
            </w:pPr>
            <w:r>
              <w:rPr>
                <w:rFonts w:ascii="Arial" w:eastAsia="Times New Roman" w:hAnsi="Arial" w:cs="Arial"/>
                <w:bCs/>
                <w:sz w:val="20"/>
                <w:szCs w:val="20"/>
                <w:lang w:val="en-GB"/>
              </w:rPr>
              <w:t>Apply a survey with community Members, 2 FGD with community members and three key informant interviews in each of the locations</w:t>
            </w:r>
          </w:p>
        </w:tc>
      </w:tr>
      <w:tr w:rsidR="0026104C" w:rsidRPr="00714496" w14:paraId="391132D3" w14:textId="77777777" w:rsidTr="28D02C3F">
        <w:trPr>
          <w:trHeight w:val="20"/>
        </w:trPr>
        <w:tc>
          <w:tcPr>
            <w:tcW w:w="2263" w:type="dxa"/>
            <w:shd w:val="clear" w:color="auto" w:fill="156082" w:themeFill="accent1"/>
          </w:tcPr>
          <w:p w14:paraId="21AA246F" w14:textId="77777777" w:rsidR="0026104C" w:rsidRPr="00714496" w:rsidRDefault="0026104C" w:rsidP="008C4E74">
            <w:pPr>
              <w:spacing w:after="0"/>
              <w:rPr>
                <w:rFonts w:ascii="Arial" w:eastAsia="Times New Roman" w:hAnsi="Arial" w:cs="Arial"/>
                <w:bCs/>
                <w:color w:val="FFFFFF" w:themeColor="background1"/>
                <w:sz w:val="20"/>
                <w:szCs w:val="20"/>
                <w:lang w:val="en-GB"/>
              </w:rPr>
            </w:pPr>
            <w:r w:rsidRPr="00714496">
              <w:rPr>
                <w:rFonts w:ascii="Arial" w:eastAsia="Times New Roman" w:hAnsi="Arial" w:cs="Arial"/>
                <w:bCs/>
                <w:color w:val="FFFFFF" w:themeColor="background1"/>
                <w:sz w:val="20"/>
                <w:szCs w:val="20"/>
                <w:lang w:val="en-GB"/>
              </w:rPr>
              <w:t>Location</w:t>
            </w:r>
          </w:p>
        </w:tc>
        <w:tc>
          <w:tcPr>
            <w:tcW w:w="6799" w:type="dxa"/>
          </w:tcPr>
          <w:p w14:paraId="17447A36" w14:textId="43EAE24F" w:rsidR="0026104C" w:rsidRPr="00714496" w:rsidRDefault="00B57DA4" w:rsidP="008C4E74">
            <w:pPr>
              <w:spacing w:after="0"/>
              <w:rPr>
                <w:rFonts w:ascii="Arial" w:eastAsia="Calibri" w:hAnsi="Arial" w:cs="Arial"/>
                <w:sz w:val="20"/>
                <w:szCs w:val="20"/>
                <w:lang w:val="en-GB"/>
              </w:rPr>
            </w:pPr>
            <w:r>
              <w:rPr>
                <w:rFonts w:ascii="Arial" w:eastAsia="Times New Roman" w:hAnsi="Arial" w:cs="Arial"/>
                <w:sz w:val="20"/>
                <w:szCs w:val="20"/>
                <w:lang w:val="en-GB"/>
              </w:rPr>
              <w:t xml:space="preserve">Kassala, </w:t>
            </w:r>
            <w:proofErr w:type="spellStart"/>
            <w:r>
              <w:rPr>
                <w:rFonts w:ascii="Arial" w:eastAsia="Times New Roman" w:hAnsi="Arial" w:cs="Arial"/>
                <w:sz w:val="20"/>
                <w:szCs w:val="20"/>
                <w:lang w:val="en-GB"/>
              </w:rPr>
              <w:t>Gedaref</w:t>
            </w:r>
            <w:proofErr w:type="spellEnd"/>
            <w:r>
              <w:rPr>
                <w:rFonts w:ascii="Arial" w:eastAsia="Times New Roman" w:hAnsi="Arial" w:cs="Arial"/>
                <w:sz w:val="20"/>
                <w:szCs w:val="20"/>
                <w:lang w:val="en-GB"/>
              </w:rPr>
              <w:t xml:space="preserve">, </w:t>
            </w:r>
            <w:proofErr w:type="spellStart"/>
            <w:r>
              <w:rPr>
                <w:rFonts w:ascii="Arial" w:eastAsia="Times New Roman" w:hAnsi="Arial" w:cs="Arial"/>
                <w:sz w:val="20"/>
                <w:szCs w:val="20"/>
                <w:lang w:val="en-GB"/>
              </w:rPr>
              <w:t>Sennar</w:t>
            </w:r>
            <w:proofErr w:type="spellEnd"/>
            <w:r>
              <w:rPr>
                <w:rFonts w:ascii="Arial" w:eastAsia="Times New Roman" w:hAnsi="Arial" w:cs="Arial"/>
                <w:sz w:val="20"/>
                <w:szCs w:val="20"/>
                <w:lang w:val="en-GB"/>
              </w:rPr>
              <w:t xml:space="preserve">, Al Jazirah, White Nile, Khartoum, </w:t>
            </w:r>
            <w:proofErr w:type="spellStart"/>
            <w:r>
              <w:rPr>
                <w:rFonts w:ascii="Arial" w:eastAsia="Times New Roman" w:hAnsi="Arial" w:cs="Arial"/>
                <w:sz w:val="20"/>
                <w:szCs w:val="20"/>
                <w:lang w:val="en-GB"/>
              </w:rPr>
              <w:t>Zalingi</w:t>
            </w:r>
            <w:proofErr w:type="spellEnd"/>
            <w:r>
              <w:rPr>
                <w:rFonts w:ascii="Arial" w:eastAsia="Times New Roman" w:hAnsi="Arial" w:cs="Arial"/>
                <w:sz w:val="20"/>
                <w:szCs w:val="20"/>
                <w:lang w:val="en-GB"/>
              </w:rPr>
              <w:t xml:space="preserve"> and Nayala</w:t>
            </w:r>
          </w:p>
        </w:tc>
      </w:tr>
      <w:tr w:rsidR="0026104C" w:rsidRPr="00714496" w14:paraId="297867DF" w14:textId="77777777" w:rsidTr="28D02C3F">
        <w:trPr>
          <w:trHeight w:val="20"/>
        </w:trPr>
        <w:tc>
          <w:tcPr>
            <w:tcW w:w="2263" w:type="dxa"/>
            <w:shd w:val="clear" w:color="auto" w:fill="156082" w:themeFill="accent1"/>
          </w:tcPr>
          <w:p w14:paraId="63D78DE2" w14:textId="77777777" w:rsidR="0026104C" w:rsidRPr="00714496" w:rsidRDefault="0026104C" w:rsidP="008C4E74">
            <w:pPr>
              <w:spacing w:after="0"/>
              <w:rPr>
                <w:rFonts w:ascii="Arial" w:eastAsia="Times New Roman" w:hAnsi="Arial" w:cs="Arial"/>
                <w:bCs/>
                <w:color w:val="FFFFFF" w:themeColor="background1"/>
                <w:sz w:val="20"/>
                <w:szCs w:val="20"/>
                <w:lang w:val="en-GB"/>
              </w:rPr>
            </w:pPr>
            <w:r w:rsidRPr="00714496">
              <w:rPr>
                <w:rFonts w:ascii="Arial" w:eastAsia="Times New Roman" w:hAnsi="Arial" w:cs="Arial"/>
                <w:bCs/>
                <w:color w:val="FFFFFF" w:themeColor="background1"/>
                <w:sz w:val="20"/>
                <w:szCs w:val="20"/>
                <w:lang w:val="en-GB"/>
              </w:rPr>
              <w:t>Application requirements</w:t>
            </w:r>
          </w:p>
        </w:tc>
        <w:tc>
          <w:tcPr>
            <w:tcW w:w="6799" w:type="dxa"/>
          </w:tcPr>
          <w:p w14:paraId="74E2A2E1" w14:textId="66CDE972" w:rsidR="00D72058" w:rsidRPr="00714496" w:rsidRDefault="00D72058" w:rsidP="00D72058">
            <w:pPr>
              <w:spacing w:after="0"/>
              <w:rPr>
                <w:rFonts w:ascii="Arial" w:eastAsia="Times New Roman" w:hAnsi="Arial" w:cs="Arial"/>
                <w:bCs/>
                <w:sz w:val="20"/>
                <w:szCs w:val="20"/>
                <w:lang w:val="en-GB"/>
              </w:rPr>
            </w:pPr>
            <w:r w:rsidRPr="00714496">
              <w:rPr>
                <w:rFonts w:ascii="Arial" w:eastAsia="Times New Roman" w:hAnsi="Arial" w:cs="Arial"/>
                <w:bCs/>
                <w:sz w:val="20"/>
                <w:szCs w:val="20"/>
                <w:lang w:val="en-GB"/>
              </w:rPr>
              <w:t>Technical Proposal</w:t>
            </w:r>
          </w:p>
          <w:p w14:paraId="07F6CA86" w14:textId="5AAB34A3" w:rsidR="00D72058" w:rsidRPr="00714496" w:rsidRDefault="00D72058" w:rsidP="00D72058">
            <w:pPr>
              <w:spacing w:after="0"/>
              <w:rPr>
                <w:rFonts w:ascii="Arial" w:eastAsia="Times New Roman" w:hAnsi="Arial" w:cs="Arial"/>
                <w:bCs/>
                <w:sz w:val="20"/>
                <w:szCs w:val="20"/>
                <w:lang w:val="en-GB"/>
              </w:rPr>
            </w:pPr>
            <w:r w:rsidRPr="00714496">
              <w:rPr>
                <w:rFonts w:ascii="Arial" w:eastAsia="Times New Roman" w:hAnsi="Arial" w:cs="Arial"/>
                <w:bCs/>
                <w:sz w:val="20"/>
                <w:szCs w:val="20"/>
                <w:lang w:val="en-GB"/>
              </w:rPr>
              <w:t>Cover Letter</w:t>
            </w:r>
          </w:p>
          <w:p w14:paraId="22200254" w14:textId="50DF5724" w:rsidR="00D72058" w:rsidRPr="00714496" w:rsidRDefault="00D72058" w:rsidP="00D72058">
            <w:pPr>
              <w:spacing w:after="0"/>
              <w:rPr>
                <w:rFonts w:ascii="Arial" w:eastAsia="Times New Roman" w:hAnsi="Arial" w:cs="Arial"/>
                <w:bCs/>
                <w:sz w:val="20"/>
                <w:szCs w:val="20"/>
                <w:lang w:val="en-GB"/>
              </w:rPr>
            </w:pPr>
            <w:r w:rsidRPr="00714496">
              <w:rPr>
                <w:rFonts w:ascii="Arial" w:eastAsia="Times New Roman" w:hAnsi="Arial" w:cs="Arial"/>
                <w:bCs/>
                <w:sz w:val="20"/>
                <w:szCs w:val="20"/>
                <w:lang w:val="en-GB"/>
              </w:rPr>
              <w:t>Description of Firm/Institution</w:t>
            </w:r>
          </w:p>
          <w:p w14:paraId="4241857E" w14:textId="5C03B121" w:rsidR="00D72058" w:rsidRPr="00714496" w:rsidRDefault="00D72058" w:rsidP="00D72058">
            <w:pPr>
              <w:spacing w:after="0"/>
              <w:rPr>
                <w:rFonts w:ascii="Arial" w:eastAsia="Times New Roman" w:hAnsi="Arial" w:cs="Arial"/>
                <w:bCs/>
                <w:sz w:val="20"/>
                <w:szCs w:val="20"/>
                <w:lang w:val="en-GB"/>
              </w:rPr>
            </w:pPr>
            <w:r w:rsidRPr="00714496">
              <w:rPr>
                <w:rFonts w:ascii="Arial" w:eastAsia="Times New Roman" w:hAnsi="Arial" w:cs="Arial"/>
                <w:bCs/>
                <w:sz w:val="20"/>
                <w:szCs w:val="20"/>
                <w:lang w:val="en-GB"/>
              </w:rPr>
              <w:t>Curricula Vitae (CV)</w:t>
            </w:r>
          </w:p>
          <w:p w14:paraId="2EDFB0F4" w14:textId="3E557355" w:rsidR="00D72058" w:rsidRPr="00714496" w:rsidRDefault="00D72058" w:rsidP="00D72058">
            <w:pPr>
              <w:spacing w:after="0"/>
              <w:rPr>
                <w:rFonts w:ascii="Arial" w:eastAsia="Times New Roman" w:hAnsi="Arial" w:cs="Arial"/>
                <w:bCs/>
                <w:sz w:val="20"/>
                <w:szCs w:val="20"/>
                <w:lang w:val="en-GB"/>
              </w:rPr>
            </w:pPr>
            <w:r w:rsidRPr="00714496">
              <w:rPr>
                <w:rFonts w:ascii="Arial" w:eastAsia="Times New Roman" w:hAnsi="Arial" w:cs="Arial"/>
                <w:bCs/>
                <w:sz w:val="20"/>
                <w:szCs w:val="20"/>
                <w:lang w:val="en-GB"/>
              </w:rPr>
              <w:t>Financial Proposal</w:t>
            </w:r>
          </w:p>
          <w:p w14:paraId="5F6B1102" w14:textId="47D008D4" w:rsidR="0026104C" w:rsidRPr="00714496" w:rsidRDefault="00D72058" w:rsidP="00D72058">
            <w:pPr>
              <w:spacing w:after="0"/>
              <w:rPr>
                <w:rFonts w:ascii="Arial" w:eastAsia="Times New Roman" w:hAnsi="Arial" w:cs="Arial"/>
                <w:bCs/>
                <w:sz w:val="20"/>
                <w:szCs w:val="20"/>
                <w:lang w:val="en-GB"/>
              </w:rPr>
            </w:pPr>
            <w:r w:rsidRPr="00714496">
              <w:rPr>
                <w:rFonts w:ascii="Arial" w:eastAsia="Times New Roman" w:hAnsi="Arial" w:cs="Arial"/>
                <w:bCs/>
                <w:sz w:val="20"/>
                <w:szCs w:val="20"/>
                <w:lang w:val="en-GB"/>
              </w:rPr>
              <w:t>Report</w:t>
            </w:r>
            <w:r w:rsidR="00035723" w:rsidRPr="00714496">
              <w:rPr>
                <w:rFonts w:ascii="Arial" w:eastAsia="Times New Roman" w:hAnsi="Arial" w:cs="Arial"/>
                <w:bCs/>
                <w:sz w:val="20"/>
                <w:szCs w:val="20"/>
                <w:lang w:val="en-GB"/>
              </w:rPr>
              <w:t xml:space="preserve"> (previous work)</w:t>
            </w:r>
          </w:p>
        </w:tc>
      </w:tr>
    </w:tbl>
    <w:p w14:paraId="45AF3A93" w14:textId="1F20256B" w:rsidR="00021ACA" w:rsidRPr="00714496" w:rsidRDefault="0026104C" w:rsidP="0026104C">
      <w:pPr>
        <w:pStyle w:val="Heading2"/>
        <w:rPr>
          <w:rFonts w:ascii="Arial" w:hAnsi="Arial" w:cs="Arial"/>
        </w:rPr>
      </w:pPr>
      <w:r w:rsidRPr="00714496">
        <w:rPr>
          <w:rFonts w:ascii="Arial" w:hAnsi="Arial" w:cs="Arial"/>
        </w:rPr>
        <w:t>Background:</w:t>
      </w:r>
    </w:p>
    <w:p w14:paraId="3E7913CA" w14:textId="4CBBB0D0" w:rsidR="00B34C40" w:rsidRPr="00714496" w:rsidRDefault="001D2962" w:rsidP="00B85BFD">
      <w:pPr>
        <w:spacing w:line="276" w:lineRule="auto"/>
        <w:jc w:val="both"/>
        <w:rPr>
          <w:rFonts w:ascii="Arial" w:hAnsi="Arial" w:cs="Arial"/>
        </w:rPr>
      </w:pPr>
      <w:r w:rsidRPr="00EE7852">
        <w:rPr>
          <w:rFonts w:ascii="Arial" w:eastAsia="Times New Roman" w:hAnsi="Arial" w:cs="Arial"/>
          <w:bCs/>
          <w:color w:val="000000" w:themeColor="text1"/>
          <w:lang w:val="en-GB"/>
        </w:rPr>
        <w:t>Sudanese Red Crescent</w:t>
      </w:r>
      <w:r w:rsidR="005C23E7" w:rsidRPr="00EE7852">
        <w:rPr>
          <w:rFonts w:ascii="Arial" w:eastAsia="Times New Roman" w:hAnsi="Arial" w:cs="Arial"/>
          <w:bCs/>
          <w:color w:val="000000" w:themeColor="text1"/>
          <w:lang w:val="en-GB"/>
        </w:rPr>
        <w:t xml:space="preserve"> </w:t>
      </w:r>
      <w:r w:rsidR="003B487A">
        <w:rPr>
          <w:rFonts w:ascii="Arial" w:eastAsia="Times New Roman" w:hAnsi="Arial" w:cs="Arial"/>
          <w:bCs/>
          <w:color w:val="000000" w:themeColor="text1"/>
          <w:lang w:val="en-GB"/>
        </w:rPr>
        <w:t>(</w:t>
      </w:r>
      <w:r w:rsidR="00EE7852" w:rsidRPr="00EE7852">
        <w:rPr>
          <w:rFonts w:ascii="Arial" w:eastAsia="Times New Roman" w:hAnsi="Arial" w:cs="Arial"/>
          <w:bCs/>
          <w:color w:val="000000" w:themeColor="text1"/>
          <w:lang w:val="en-GB"/>
        </w:rPr>
        <w:t>SRCS</w:t>
      </w:r>
      <w:r w:rsidR="003B487A">
        <w:rPr>
          <w:rFonts w:ascii="Arial" w:eastAsia="Times New Roman" w:hAnsi="Arial" w:cs="Arial"/>
          <w:bCs/>
          <w:color w:val="000000" w:themeColor="text1"/>
          <w:lang w:val="en-GB"/>
        </w:rPr>
        <w:t>)</w:t>
      </w:r>
      <w:r w:rsidR="00EE7852" w:rsidRPr="00EE7852">
        <w:rPr>
          <w:rFonts w:ascii="Arial" w:eastAsia="Times New Roman" w:hAnsi="Arial" w:cs="Arial"/>
          <w:bCs/>
          <w:color w:val="000000" w:themeColor="text1"/>
          <w:lang w:val="en-GB"/>
        </w:rPr>
        <w:t xml:space="preserve"> and</w:t>
      </w:r>
      <w:r w:rsidR="005C23E7" w:rsidRPr="00EE7852">
        <w:rPr>
          <w:rFonts w:ascii="Arial" w:eastAsia="Times New Roman" w:hAnsi="Arial" w:cs="Arial"/>
          <w:bCs/>
          <w:color w:val="000000" w:themeColor="text1"/>
          <w:lang w:val="en-GB"/>
        </w:rPr>
        <w:t xml:space="preserve"> </w:t>
      </w:r>
      <w:r w:rsidR="003B487A" w:rsidRPr="00EE7852">
        <w:rPr>
          <w:rFonts w:ascii="Arial" w:hAnsi="Arial" w:cs="Arial"/>
          <w:color w:val="000000" w:themeColor="text1"/>
        </w:rPr>
        <w:t>Norwegian</w:t>
      </w:r>
      <w:r w:rsidR="00B34C40" w:rsidRPr="00EE7852">
        <w:rPr>
          <w:rFonts w:ascii="Arial" w:hAnsi="Arial" w:cs="Arial"/>
          <w:color w:val="000000" w:themeColor="text1"/>
        </w:rPr>
        <w:t xml:space="preserve"> </w:t>
      </w:r>
      <w:r w:rsidR="00B34C40" w:rsidRPr="00714496">
        <w:rPr>
          <w:rFonts w:ascii="Arial" w:hAnsi="Arial" w:cs="Arial"/>
        </w:rPr>
        <w:t>Red Cross</w:t>
      </w:r>
      <w:r w:rsidR="00722698" w:rsidRPr="00714496">
        <w:rPr>
          <w:rFonts w:ascii="Arial" w:hAnsi="Arial" w:cs="Arial"/>
        </w:rPr>
        <w:t xml:space="preserve"> (</w:t>
      </w:r>
      <w:proofErr w:type="spellStart"/>
      <w:r w:rsidR="00722698" w:rsidRPr="00714496">
        <w:rPr>
          <w:rFonts w:ascii="Arial" w:hAnsi="Arial" w:cs="Arial"/>
        </w:rPr>
        <w:t>No</w:t>
      </w:r>
      <w:r w:rsidR="00EE7852">
        <w:rPr>
          <w:rFonts w:ascii="Arial" w:hAnsi="Arial" w:cs="Arial"/>
        </w:rPr>
        <w:t>RC</w:t>
      </w:r>
      <w:proofErr w:type="spellEnd"/>
      <w:r w:rsidR="00722698" w:rsidRPr="00714496">
        <w:rPr>
          <w:rFonts w:ascii="Arial" w:hAnsi="Arial" w:cs="Arial"/>
        </w:rPr>
        <w:t>)</w:t>
      </w:r>
      <w:r w:rsidR="00B34C40" w:rsidRPr="00714496">
        <w:rPr>
          <w:rFonts w:ascii="Arial" w:hAnsi="Arial" w:cs="Arial"/>
        </w:rPr>
        <w:t xml:space="preserve"> </w:t>
      </w:r>
      <w:r w:rsidR="00722698" w:rsidRPr="00714496">
        <w:rPr>
          <w:rFonts w:ascii="Arial" w:hAnsi="Arial" w:cs="Arial"/>
        </w:rPr>
        <w:t>are</w:t>
      </w:r>
      <w:r w:rsidR="00B34C40" w:rsidRPr="00714496">
        <w:rPr>
          <w:rFonts w:ascii="Arial" w:hAnsi="Arial" w:cs="Arial"/>
        </w:rPr>
        <w:t xml:space="preserve"> integral component</w:t>
      </w:r>
      <w:r w:rsidR="00722698" w:rsidRPr="00714496">
        <w:rPr>
          <w:rFonts w:ascii="Arial" w:hAnsi="Arial" w:cs="Arial"/>
        </w:rPr>
        <w:t>s</w:t>
      </w:r>
      <w:r w:rsidR="00B34C40" w:rsidRPr="00714496">
        <w:rPr>
          <w:rFonts w:ascii="Arial" w:hAnsi="Arial" w:cs="Arial"/>
        </w:rPr>
        <w:t xml:space="preserve"> of the Red Cross and Red Crescent Movement (RCRC), the largest humanitarian network globally. </w:t>
      </w:r>
      <w:r w:rsidR="00722698" w:rsidRPr="00714496">
        <w:rPr>
          <w:rFonts w:ascii="Arial" w:hAnsi="Arial" w:cs="Arial"/>
        </w:rPr>
        <w:t xml:space="preserve">The core mission of the </w:t>
      </w:r>
      <w:r w:rsidRPr="00630F45">
        <w:rPr>
          <w:rFonts w:ascii="Arial" w:eastAsia="Times New Roman" w:hAnsi="Arial" w:cs="Arial"/>
          <w:bCs/>
          <w:color w:val="000000" w:themeColor="text1"/>
          <w:lang w:val="en-GB"/>
        </w:rPr>
        <w:t>Sudanese Red Crescent</w:t>
      </w:r>
      <w:r w:rsidR="00722698" w:rsidRPr="00630F45">
        <w:rPr>
          <w:rFonts w:ascii="Arial" w:hAnsi="Arial" w:cs="Arial"/>
          <w:color w:val="000000" w:themeColor="text1"/>
        </w:rPr>
        <w:t xml:space="preserve"> is</w:t>
      </w:r>
      <w:r w:rsidR="005E79B4" w:rsidRPr="00630F45">
        <w:rPr>
          <w:rFonts w:ascii="Arial" w:hAnsi="Arial" w:cs="Arial"/>
          <w:color w:val="000000" w:themeColor="text1"/>
        </w:rPr>
        <w:t xml:space="preserve"> </w:t>
      </w:r>
      <w:r w:rsidR="005E79B4" w:rsidRPr="00714496">
        <w:rPr>
          <w:rFonts w:ascii="Arial" w:hAnsi="Arial" w:cs="Arial"/>
        </w:rPr>
        <w:t xml:space="preserve">to </w:t>
      </w:r>
      <w:r w:rsidR="00630F45">
        <w:rPr>
          <w:rFonts w:ascii="Arial" w:hAnsi="Arial" w:cs="Arial"/>
        </w:rPr>
        <w:t>act as auxiliary to the National authorities in preparing and responding to the natural and manmade disasters.</w:t>
      </w:r>
      <w:r w:rsidR="00722698" w:rsidRPr="00714496">
        <w:rPr>
          <w:rFonts w:ascii="Arial" w:hAnsi="Arial" w:cs="Arial"/>
        </w:rPr>
        <w:t xml:space="preserve"> </w:t>
      </w:r>
      <w:r w:rsidR="005E79B4" w:rsidRPr="00714496">
        <w:rPr>
          <w:rFonts w:ascii="Arial" w:hAnsi="Arial" w:cs="Arial"/>
        </w:rPr>
        <w:t>Moreover, the</w:t>
      </w:r>
      <w:r w:rsidR="00B34C40" w:rsidRPr="00714496">
        <w:rPr>
          <w:rFonts w:ascii="Arial" w:hAnsi="Arial" w:cs="Arial"/>
        </w:rPr>
        <w:t xml:space="preserve"> core mission of the Norwegian Red Cross is the mitigation of human suffering, the preservation of life and health, and the upholding of human dignity, particularly in times of armed conflicts and other emergencies.</w:t>
      </w:r>
    </w:p>
    <w:p w14:paraId="45F90A31" w14:textId="1EE1AADB" w:rsidR="00B34C40" w:rsidRPr="00714496" w:rsidRDefault="00B34C40" w:rsidP="00B85BFD">
      <w:pPr>
        <w:spacing w:line="276" w:lineRule="auto"/>
        <w:jc w:val="both"/>
        <w:rPr>
          <w:rFonts w:ascii="Arial" w:hAnsi="Arial" w:cs="Arial"/>
        </w:rPr>
      </w:pPr>
      <w:r w:rsidRPr="10B6F0D3">
        <w:rPr>
          <w:rFonts w:ascii="Arial" w:hAnsi="Arial" w:cs="Arial"/>
        </w:rPr>
        <w:t xml:space="preserve">In pursuit of these objectives, the </w:t>
      </w:r>
      <w:r w:rsidR="003B487A" w:rsidRPr="00EE7852">
        <w:rPr>
          <w:rFonts w:ascii="Arial" w:eastAsia="Times New Roman" w:hAnsi="Arial" w:cs="Arial"/>
          <w:bCs/>
          <w:color w:val="000000" w:themeColor="text1"/>
          <w:lang w:val="en-GB"/>
        </w:rPr>
        <w:t xml:space="preserve">SRCS </w:t>
      </w:r>
      <w:r w:rsidR="00E94629" w:rsidRPr="10B6F0D3">
        <w:rPr>
          <w:rFonts w:ascii="Arial" w:hAnsi="Arial" w:cs="Arial"/>
        </w:rPr>
        <w:t xml:space="preserve">and </w:t>
      </w:r>
      <w:proofErr w:type="spellStart"/>
      <w:r w:rsidR="003B487A" w:rsidRPr="00714496">
        <w:rPr>
          <w:rFonts w:ascii="Arial" w:hAnsi="Arial" w:cs="Arial"/>
        </w:rPr>
        <w:t>No</w:t>
      </w:r>
      <w:r w:rsidR="003B487A">
        <w:rPr>
          <w:rFonts w:ascii="Arial" w:hAnsi="Arial" w:cs="Arial"/>
        </w:rPr>
        <w:t>RC</w:t>
      </w:r>
      <w:proofErr w:type="spellEnd"/>
      <w:r w:rsidR="003B487A" w:rsidRPr="10B6F0D3">
        <w:rPr>
          <w:rFonts w:ascii="Arial" w:hAnsi="Arial" w:cs="Arial"/>
        </w:rPr>
        <w:t xml:space="preserve"> </w:t>
      </w:r>
      <w:r w:rsidRPr="10B6F0D3">
        <w:rPr>
          <w:rFonts w:ascii="Arial" w:hAnsi="Arial" w:cs="Arial"/>
        </w:rPr>
        <w:t>adhere to the seven fundamental humanitarian principles: Impartiality, neutrality, independence, voluntary service, unity, and universality.</w:t>
      </w:r>
      <w:r w:rsidR="005C23E7" w:rsidRPr="10B6F0D3">
        <w:rPr>
          <w:rFonts w:ascii="Arial" w:hAnsi="Arial" w:cs="Arial"/>
        </w:rPr>
        <w:t xml:space="preserve"> A bilateral partnership between the two </w:t>
      </w:r>
      <w:r w:rsidR="00997045" w:rsidRPr="10B6F0D3">
        <w:rPr>
          <w:rFonts w:ascii="Arial" w:hAnsi="Arial" w:cs="Arial"/>
        </w:rPr>
        <w:t>previously</w:t>
      </w:r>
      <w:r w:rsidR="55EC3CBB" w:rsidRPr="10B6F0D3">
        <w:rPr>
          <w:rFonts w:ascii="Arial" w:hAnsi="Arial" w:cs="Arial"/>
        </w:rPr>
        <w:t xml:space="preserve"> mentioned </w:t>
      </w:r>
      <w:r w:rsidR="005C23E7" w:rsidRPr="10B6F0D3">
        <w:rPr>
          <w:rFonts w:ascii="Arial" w:hAnsi="Arial" w:cs="Arial"/>
        </w:rPr>
        <w:t xml:space="preserve">RCRC </w:t>
      </w:r>
      <w:r w:rsidR="3F539064" w:rsidRPr="10B6F0D3">
        <w:rPr>
          <w:rFonts w:ascii="Arial" w:hAnsi="Arial" w:cs="Arial"/>
        </w:rPr>
        <w:t xml:space="preserve">components </w:t>
      </w:r>
      <w:r w:rsidR="005C23E7" w:rsidRPr="10B6F0D3">
        <w:rPr>
          <w:rFonts w:ascii="Arial" w:hAnsi="Arial" w:cs="Arial"/>
        </w:rPr>
        <w:t>was established in</w:t>
      </w:r>
      <w:r w:rsidR="00611D18">
        <w:rPr>
          <w:rFonts w:ascii="Arial" w:hAnsi="Arial" w:cs="Arial"/>
        </w:rPr>
        <w:t xml:space="preserve"> 202</w:t>
      </w:r>
      <w:r w:rsidR="00725721">
        <w:rPr>
          <w:rFonts w:ascii="Arial" w:hAnsi="Arial" w:cs="Arial"/>
        </w:rPr>
        <w:t>3</w:t>
      </w:r>
      <w:r w:rsidRPr="10B6F0D3">
        <w:rPr>
          <w:rFonts w:ascii="Arial" w:hAnsi="Arial" w:cs="Arial"/>
        </w:rPr>
        <w:t xml:space="preserve">. This ongoing partnership was further solidified with the signing of a new </w:t>
      </w:r>
      <w:r w:rsidRPr="00102D1C">
        <w:rPr>
          <w:rFonts w:ascii="Arial" w:hAnsi="Arial" w:cs="Arial"/>
          <w:color w:val="000000" w:themeColor="text1"/>
        </w:rPr>
        <w:t xml:space="preserve">three-year </w:t>
      </w:r>
      <w:r w:rsidRPr="10B6F0D3">
        <w:rPr>
          <w:rFonts w:ascii="Arial" w:hAnsi="Arial" w:cs="Arial"/>
        </w:rPr>
        <w:t xml:space="preserve">bilateral partnership agreement in </w:t>
      </w:r>
      <w:r w:rsidR="00725721">
        <w:rPr>
          <w:rFonts w:ascii="Arial" w:hAnsi="Arial" w:cs="Arial"/>
        </w:rPr>
        <w:t xml:space="preserve">2024. </w:t>
      </w:r>
    </w:p>
    <w:p w14:paraId="25BBBCAA" w14:textId="61FF775B" w:rsidR="00A10F9C" w:rsidRDefault="00B34C40" w:rsidP="00A10F9C">
      <w:pPr>
        <w:spacing w:line="276" w:lineRule="auto"/>
        <w:jc w:val="both"/>
        <w:rPr>
          <w:rFonts w:ascii="Arial" w:hAnsi="Arial" w:cs="Arial"/>
        </w:rPr>
      </w:pPr>
      <w:r w:rsidRPr="1486D591">
        <w:rPr>
          <w:rFonts w:ascii="Arial" w:hAnsi="Arial" w:cs="Arial"/>
        </w:rPr>
        <w:lastRenderedPageBreak/>
        <w:t>The thematic areas in which</w:t>
      </w:r>
      <w:r w:rsidR="003B1036" w:rsidRPr="1486D591">
        <w:rPr>
          <w:rFonts w:ascii="Arial" w:hAnsi="Arial" w:cs="Arial"/>
        </w:rPr>
        <w:t xml:space="preserve"> </w:t>
      </w:r>
      <w:r w:rsidR="004F36F5">
        <w:rPr>
          <w:rFonts w:ascii="Arial" w:hAnsi="Arial" w:cs="Arial"/>
        </w:rPr>
        <w:t xml:space="preserve">SRCS </w:t>
      </w:r>
      <w:r w:rsidR="003B1036" w:rsidRPr="1486D591">
        <w:rPr>
          <w:rFonts w:ascii="Arial" w:hAnsi="Arial" w:cs="Arial"/>
        </w:rPr>
        <w:t>and</w:t>
      </w:r>
      <w:r w:rsidRPr="1486D591">
        <w:rPr>
          <w:rFonts w:ascii="Arial" w:hAnsi="Arial" w:cs="Arial"/>
        </w:rPr>
        <w:t xml:space="preserve"> </w:t>
      </w:r>
      <w:proofErr w:type="spellStart"/>
      <w:r w:rsidR="004F36F5">
        <w:rPr>
          <w:rFonts w:ascii="Arial" w:hAnsi="Arial" w:cs="Arial"/>
        </w:rPr>
        <w:t>NoRC</w:t>
      </w:r>
      <w:proofErr w:type="spellEnd"/>
      <w:r w:rsidRPr="1486D591">
        <w:rPr>
          <w:rFonts w:ascii="Arial" w:hAnsi="Arial" w:cs="Arial"/>
        </w:rPr>
        <w:t xml:space="preserve"> </w:t>
      </w:r>
      <w:r w:rsidR="005E79B4" w:rsidRPr="1486D591">
        <w:rPr>
          <w:rFonts w:ascii="Arial" w:hAnsi="Arial" w:cs="Arial"/>
        </w:rPr>
        <w:t xml:space="preserve">have </w:t>
      </w:r>
      <w:r w:rsidR="003B1036" w:rsidRPr="1486D591">
        <w:rPr>
          <w:rFonts w:ascii="Arial" w:hAnsi="Arial" w:cs="Arial"/>
        </w:rPr>
        <w:t xml:space="preserve">jointly </w:t>
      </w:r>
      <w:r w:rsidRPr="1486D591">
        <w:rPr>
          <w:rFonts w:ascii="Arial" w:hAnsi="Arial" w:cs="Arial"/>
        </w:rPr>
        <w:t xml:space="preserve">focused </w:t>
      </w:r>
      <w:r w:rsidR="005E79B4" w:rsidRPr="1486D591">
        <w:rPr>
          <w:rFonts w:ascii="Arial" w:hAnsi="Arial" w:cs="Arial"/>
        </w:rPr>
        <w:t xml:space="preserve">their </w:t>
      </w:r>
      <w:r w:rsidRPr="1486D591">
        <w:rPr>
          <w:rFonts w:ascii="Arial" w:hAnsi="Arial" w:cs="Arial"/>
        </w:rPr>
        <w:t>efforts</w:t>
      </w:r>
      <w:r w:rsidR="005137E0" w:rsidRPr="1486D591">
        <w:rPr>
          <w:rFonts w:ascii="Arial" w:hAnsi="Arial" w:cs="Arial"/>
        </w:rPr>
        <w:t xml:space="preserve"> on</w:t>
      </w:r>
      <w:r w:rsidRPr="1486D591">
        <w:rPr>
          <w:rFonts w:ascii="Arial" w:hAnsi="Arial" w:cs="Arial"/>
        </w:rPr>
        <w:t xml:space="preserve"> include the provision of </w:t>
      </w:r>
      <w:r w:rsidRPr="00F94B79">
        <w:rPr>
          <w:rFonts w:ascii="Arial" w:hAnsi="Arial" w:cs="Arial"/>
          <w:color w:val="000000" w:themeColor="text1"/>
        </w:rPr>
        <w:t>essential healthcare</w:t>
      </w:r>
      <w:r w:rsidR="005C23E7" w:rsidRPr="00F94B79">
        <w:rPr>
          <w:rFonts w:ascii="Arial" w:hAnsi="Arial" w:cs="Arial"/>
          <w:color w:val="000000" w:themeColor="text1"/>
        </w:rPr>
        <w:t>, cash, WAS</w:t>
      </w:r>
      <w:r w:rsidR="00F94B79" w:rsidRPr="00F94B79">
        <w:rPr>
          <w:rFonts w:ascii="Arial" w:hAnsi="Arial" w:cs="Arial"/>
          <w:color w:val="000000" w:themeColor="text1"/>
        </w:rPr>
        <w:t xml:space="preserve">H </w:t>
      </w:r>
      <w:r w:rsidR="005C23E7" w:rsidRPr="00F94B79">
        <w:rPr>
          <w:rFonts w:ascii="Arial" w:hAnsi="Arial" w:cs="Arial"/>
          <w:color w:val="000000" w:themeColor="text1"/>
        </w:rPr>
        <w:t>and protection</w:t>
      </w:r>
      <w:r w:rsidRPr="00F94B79">
        <w:rPr>
          <w:rFonts w:ascii="Arial" w:hAnsi="Arial" w:cs="Arial"/>
          <w:color w:val="000000" w:themeColor="text1"/>
        </w:rPr>
        <w:t xml:space="preserve"> </w:t>
      </w:r>
      <w:r w:rsidR="005C23E7" w:rsidRPr="00F94B79">
        <w:rPr>
          <w:rFonts w:ascii="Arial" w:hAnsi="Arial" w:cs="Arial"/>
          <w:color w:val="000000" w:themeColor="text1"/>
        </w:rPr>
        <w:t xml:space="preserve">targeting marginalized </w:t>
      </w:r>
      <w:r w:rsidR="005C23E7" w:rsidRPr="1486D591">
        <w:rPr>
          <w:rFonts w:ascii="Arial" w:hAnsi="Arial" w:cs="Arial"/>
        </w:rPr>
        <w:t xml:space="preserve">communities and regions affected by </w:t>
      </w:r>
      <w:r w:rsidR="005C23E7" w:rsidRPr="00F94B79">
        <w:rPr>
          <w:rFonts w:ascii="Arial" w:hAnsi="Arial" w:cs="Arial"/>
          <w:color w:val="000000" w:themeColor="text1"/>
        </w:rPr>
        <w:t>conflict and/or disasters</w:t>
      </w:r>
      <w:r w:rsidRPr="1486D591">
        <w:rPr>
          <w:rFonts w:ascii="Arial" w:hAnsi="Arial" w:cs="Arial"/>
        </w:rPr>
        <w:t xml:space="preserve">. Furthermore, </w:t>
      </w:r>
      <w:proofErr w:type="spellStart"/>
      <w:r w:rsidR="00F94B79">
        <w:rPr>
          <w:rFonts w:ascii="Arial" w:hAnsi="Arial" w:cs="Arial"/>
        </w:rPr>
        <w:t>NoRC</w:t>
      </w:r>
      <w:proofErr w:type="spellEnd"/>
      <w:r w:rsidRPr="1486D591">
        <w:rPr>
          <w:rFonts w:ascii="Arial" w:hAnsi="Arial" w:cs="Arial"/>
        </w:rPr>
        <w:t xml:space="preserve"> remains dedicated to enhancing its collaborative relationship with </w:t>
      </w:r>
      <w:r w:rsidR="00070E1F">
        <w:rPr>
          <w:rFonts w:ascii="Arial" w:hAnsi="Arial" w:cs="Arial"/>
        </w:rPr>
        <w:t>SRCS</w:t>
      </w:r>
      <w:r w:rsidR="581922EE" w:rsidRPr="1486D591">
        <w:rPr>
          <w:rFonts w:ascii="Arial" w:hAnsi="Arial" w:cs="Arial"/>
        </w:rPr>
        <w:t xml:space="preserve"> </w:t>
      </w:r>
      <w:r w:rsidRPr="1486D591">
        <w:rPr>
          <w:rFonts w:ascii="Arial" w:hAnsi="Arial" w:cs="Arial"/>
        </w:rPr>
        <w:t xml:space="preserve">by extending support for the enhancement of its internal systems and organizational structure. </w:t>
      </w:r>
    </w:p>
    <w:p w14:paraId="53DB00BC" w14:textId="77777777" w:rsidR="00A10F9C" w:rsidRPr="00714496" w:rsidRDefault="00A10F9C" w:rsidP="00A10F9C">
      <w:pPr>
        <w:spacing w:line="276" w:lineRule="auto"/>
        <w:jc w:val="both"/>
        <w:rPr>
          <w:rFonts w:ascii="Arial" w:hAnsi="Arial" w:cs="Arial"/>
        </w:rPr>
      </w:pPr>
    </w:p>
    <w:p w14:paraId="59DD9E3B" w14:textId="4AEE986C" w:rsidR="004939C0" w:rsidRPr="00714496" w:rsidRDefault="004939C0" w:rsidP="004939C0">
      <w:pPr>
        <w:pStyle w:val="Heading2"/>
        <w:rPr>
          <w:rFonts w:ascii="Arial" w:hAnsi="Arial" w:cs="Arial"/>
        </w:rPr>
      </w:pPr>
      <w:r w:rsidRPr="00714496">
        <w:rPr>
          <w:rFonts w:ascii="Arial" w:hAnsi="Arial" w:cs="Arial"/>
        </w:rPr>
        <w:t>Purpose and Scope</w:t>
      </w:r>
    </w:p>
    <w:p w14:paraId="7F4DF7BC" w14:textId="1661485F" w:rsidR="00340124" w:rsidRDefault="00340124" w:rsidP="00340124">
      <w:pPr>
        <w:spacing w:line="276" w:lineRule="auto"/>
        <w:jc w:val="both"/>
        <w:rPr>
          <w:rFonts w:ascii="Arial" w:hAnsi="Arial" w:cs="Arial"/>
        </w:rPr>
      </w:pPr>
      <w:r w:rsidRPr="00340124">
        <w:rPr>
          <w:rFonts w:ascii="Arial" w:hAnsi="Arial" w:cs="Arial"/>
        </w:rPr>
        <w:t xml:space="preserve">After conducting a thorough desk review and applying selection criteria to identify locations that </w:t>
      </w:r>
      <w:r w:rsidR="003676D3">
        <w:rPr>
          <w:rFonts w:ascii="Arial" w:hAnsi="Arial" w:cs="Arial"/>
        </w:rPr>
        <w:t>will</w:t>
      </w:r>
      <w:r w:rsidRPr="00340124">
        <w:rPr>
          <w:rFonts w:ascii="Arial" w:hAnsi="Arial" w:cs="Arial"/>
        </w:rPr>
        <w:t xml:space="preserve"> be targeted in the next two years,</w:t>
      </w:r>
      <w:r w:rsidR="00070E1F">
        <w:rPr>
          <w:rFonts w:ascii="Arial" w:hAnsi="Arial" w:cs="Arial"/>
        </w:rPr>
        <w:t xml:space="preserve"> SRCS and</w:t>
      </w:r>
      <w:r>
        <w:rPr>
          <w:rFonts w:ascii="Arial" w:hAnsi="Arial" w:cs="Arial"/>
        </w:rPr>
        <w:t xml:space="preserve"> </w:t>
      </w:r>
      <w:proofErr w:type="spellStart"/>
      <w:r w:rsidR="00F94B79">
        <w:rPr>
          <w:rFonts w:ascii="Arial" w:hAnsi="Arial" w:cs="Arial"/>
        </w:rPr>
        <w:t>NoRC</w:t>
      </w:r>
      <w:proofErr w:type="spellEnd"/>
      <w:r w:rsidRPr="00340124">
        <w:rPr>
          <w:rFonts w:ascii="Arial" w:hAnsi="Arial" w:cs="Arial"/>
        </w:rPr>
        <w:t xml:space="preserve"> have selected the areas to be covered in this assessment. </w:t>
      </w:r>
    </w:p>
    <w:p w14:paraId="0F33B6A4" w14:textId="70216523" w:rsidR="00340124" w:rsidRDefault="00340124" w:rsidP="003676D3">
      <w:pPr>
        <w:spacing w:line="276" w:lineRule="auto"/>
        <w:jc w:val="both"/>
        <w:rPr>
          <w:rFonts w:ascii="Arial" w:hAnsi="Arial" w:cs="Arial"/>
        </w:rPr>
      </w:pPr>
      <w:r w:rsidRPr="00340124">
        <w:rPr>
          <w:rFonts w:ascii="Arial" w:hAnsi="Arial" w:cs="Arial"/>
        </w:rPr>
        <w:t xml:space="preserve">Using multisectoral needs assessment and outcome monitoring tools, the consultants are expected to document the population's needs in health, cash, and protection, and provide recommendations to guide the development of future projects and </w:t>
      </w:r>
      <w:r>
        <w:rPr>
          <w:rFonts w:ascii="Arial" w:hAnsi="Arial" w:cs="Arial"/>
        </w:rPr>
        <w:t xml:space="preserve">the </w:t>
      </w:r>
      <w:r w:rsidRPr="00340124">
        <w:rPr>
          <w:rFonts w:ascii="Arial" w:hAnsi="Arial" w:cs="Arial"/>
        </w:rPr>
        <w:t xml:space="preserve">adjustment </w:t>
      </w:r>
      <w:r>
        <w:rPr>
          <w:rFonts w:ascii="Arial" w:hAnsi="Arial" w:cs="Arial"/>
        </w:rPr>
        <w:t xml:space="preserve">of </w:t>
      </w:r>
      <w:r w:rsidRPr="00340124">
        <w:rPr>
          <w:rFonts w:ascii="Arial" w:hAnsi="Arial" w:cs="Arial"/>
        </w:rPr>
        <w:t xml:space="preserve">ongoing activities. </w:t>
      </w:r>
      <w:r w:rsidR="003676D3" w:rsidRPr="003676D3">
        <w:rPr>
          <w:rFonts w:ascii="Arial" w:hAnsi="Arial" w:cs="Arial"/>
        </w:rPr>
        <w:t>Findings and recommendations should be location-specific and</w:t>
      </w:r>
      <w:r w:rsidR="00871F97">
        <w:rPr>
          <w:rFonts w:ascii="Arial" w:hAnsi="Arial" w:cs="Arial"/>
        </w:rPr>
        <w:t xml:space="preserve"> </w:t>
      </w:r>
      <w:r w:rsidR="003676D3" w:rsidRPr="003676D3">
        <w:rPr>
          <w:rFonts w:ascii="Arial" w:hAnsi="Arial" w:cs="Arial"/>
        </w:rPr>
        <w:t>tailored to community type and gender.</w:t>
      </w:r>
    </w:p>
    <w:p w14:paraId="696041A2" w14:textId="02554B7B" w:rsidR="00340124" w:rsidRDefault="00340124" w:rsidP="00340124">
      <w:pPr>
        <w:spacing w:line="276" w:lineRule="auto"/>
        <w:jc w:val="both"/>
        <w:rPr>
          <w:rFonts w:ascii="Arial" w:hAnsi="Arial" w:cs="Arial"/>
        </w:rPr>
      </w:pPr>
      <w:r w:rsidRPr="558B29AB">
        <w:rPr>
          <w:rFonts w:ascii="Arial" w:hAnsi="Arial" w:cs="Arial"/>
        </w:rPr>
        <w:t xml:space="preserve">Furthermore, by utilizing already developed tools, consultants are expected to quantify predefined outcome indicators to report on </w:t>
      </w:r>
      <w:r w:rsidR="6DC663ED" w:rsidRPr="558B29AB">
        <w:rPr>
          <w:rFonts w:ascii="Arial" w:hAnsi="Arial" w:cs="Arial"/>
        </w:rPr>
        <w:t xml:space="preserve">baseline, </w:t>
      </w:r>
      <w:r w:rsidRPr="558B29AB">
        <w:rPr>
          <w:rFonts w:ascii="Arial" w:hAnsi="Arial" w:cs="Arial"/>
        </w:rPr>
        <w:t>midline or endline results of ongoing projects, as well as to establish baseline values for new projects.</w:t>
      </w:r>
      <w:r w:rsidR="003676D3" w:rsidRPr="558B29AB">
        <w:rPr>
          <w:rFonts w:ascii="Arial" w:hAnsi="Arial" w:cs="Arial"/>
        </w:rPr>
        <w:t xml:space="preserve"> Reported outcome data should be disaggregated </w:t>
      </w:r>
      <w:proofErr w:type="gramStart"/>
      <w:r w:rsidR="003676D3" w:rsidRPr="558B29AB">
        <w:rPr>
          <w:rFonts w:ascii="Arial" w:hAnsi="Arial" w:cs="Arial"/>
        </w:rPr>
        <w:t>per</w:t>
      </w:r>
      <w:proofErr w:type="gramEnd"/>
      <w:r w:rsidR="003676D3" w:rsidRPr="558B29AB">
        <w:rPr>
          <w:rFonts w:ascii="Arial" w:hAnsi="Arial" w:cs="Arial"/>
        </w:rPr>
        <w:t xml:space="preserve"> location</w:t>
      </w:r>
      <w:r w:rsidR="33C0D247" w:rsidRPr="558B29AB">
        <w:rPr>
          <w:rFonts w:ascii="Arial" w:hAnsi="Arial" w:cs="Arial"/>
        </w:rPr>
        <w:t>,</w:t>
      </w:r>
      <w:r w:rsidR="003676D3" w:rsidRPr="558B29AB">
        <w:rPr>
          <w:rFonts w:ascii="Arial" w:hAnsi="Arial" w:cs="Arial"/>
        </w:rPr>
        <w:t xml:space="preserve"> and</w:t>
      </w:r>
      <w:r w:rsidR="4036B240" w:rsidRPr="558B29AB">
        <w:rPr>
          <w:rFonts w:ascii="Arial" w:hAnsi="Arial" w:cs="Arial"/>
        </w:rPr>
        <w:t xml:space="preserve"> when possible, by</w:t>
      </w:r>
      <w:r w:rsidR="003676D3" w:rsidRPr="558B29AB">
        <w:rPr>
          <w:rFonts w:ascii="Arial" w:hAnsi="Arial" w:cs="Arial"/>
        </w:rPr>
        <w:t xml:space="preserve"> gender.  </w:t>
      </w:r>
    </w:p>
    <w:p w14:paraId="4D6A2F53" w14:textId="59A6FEB8" w:rsidR="003676D3" w:rsidRDefault="003676D3" w:rsidP="00340124">
      <w:pPr>
        <w:spacing w:line="276" w:lineRule="auto"/>
        <w:jc w:val="both"/>
        <w:rPr>
          <w:rFonts w:ascii="Arial" w:hAnsi="Arial" w:cs="Arial"/>
        </w:rPr>
      </w:pPr>
      <w:r>
        <w:rPr>
          <w:rFonts w:ascii="Arial" w:hAnsi="Arial" w:cs="Arial"/>
        </w:rPr>
        <w:t xml:space="preserve">The outcome indicators that will be reported on are: </w:t>
      </w:r>
    </w:p>
    <w:p w14:paraId="27E95C1A" w14:textId="0BE24E60" w:rsidR="003676D3" w:rsidRDefault="003676D3" w:rsidP="00DB0188">
      <w:pPr>
        <w:pStyle w:val="ListParagraph"/>
        <w:numPr>
          <w:ilvl w:val="0"/>
          <w:numId w:val="5"/>
        </w:numPr>
        <w:spacing w:line="276" w:lineRule="auto"/>
        <w:jc w:val="both"/>
        <w:rPr>
          <w:rFonts w:ascii="Arial" w:hAnsi="Arial" w:cs="Arial"/>
        </w:rPr>
      </w:pPr>
      <w:r w:rsidRPr="003676D3">
        <w:rPr>
          <w:rFonts w:ascii="Arial" w:hAnsi="Arial" w:cs="Arial"/>
        </w:rPr>
        <w:t>% of targeted people with access to primary health care services</w:t>
      </w:r>
    </w:p>
    <w:p w14:paraId="12413877" w14:textId="72FE4707" w:rsidR="003676D3" w:rsidRDefault="003676D3" w:rsidP="00DB0188">
      <w:pPr>
        <w:pStyle w:val="ListParagraph"/>
        <w:numPr>
          <w:ilvl w:val="0"/>
          <w:numId w:val="5"/>
        </w:numPr>
        <w:spacing w:line="276" w:lineRule="auto"/>
        <w:jc w:val="both"/>
        <w:rPr>
          <w:rFonts w:ascii="Arial" w:hAnsi="Arial" w:cs="Arial"/>
        </w:rPr>
      </w:pPr>
      <w:r w:rsidRPr="003676D3">
        <w:rPr>
          <w:rFonts w:ascii="Arial" w:hAnsi="Arial" w:cs="Arial"/>
        </w:rPr>
        <w:t>% of targeted people satisfied with the quality of health care services received</w:t>
      </w:r>
    </w:p>
    <w:p w14:paraId="7E76563C" w14:textId="004534E6" w:rsidR="003676D3" w:rsidRDefault="003676D3" w:rsidP="00DB0188">
      <w:pPr>
        <w:pStyle w:val="ListParagraph"/>
        <w:numPr>
          <w:ilvl w:val="0"/>
          <w:numId w:val="5"/>
        </w:numPr>
        <w:spacing w:line="276" w:lineRule="auto"/>
        <w:jc w:val="both"/>
        <w:rPr>
          <w:rFonts w:ascii="Arial" w:hAnsi="Arial" w:cs="Arial"/>
        </w:rPr>
      </w:pPr>
      <w:r w:rsidRPr="003676D3">
        <w:rPr>
          <w:rFonts w:ascii="Arial" w:hAnsi="Arial" w:cs="Arial"/>
          <w:lang w:val="en-GB"/>
        </w:rPr>
        <w:t>% of healthcare facilities with climate adaptation measures taken</w:t>
      </w:r>
      <w:r w:rsidRPr="003676D3">
        <w:rPr>
          <w:rFonts w:ascii="Arial" w:hAnsi="Arial" w:cs="Arial"/>
        </w:rPr>
        <w:t> </w:t>
      </w:r>
    </w:p>
    <w:p w14:paraId="6C516A4F" w14:textId="45965036" w:rsidR="003676D3" w:rsidRDefault="00871F97" w:rsidP="00DB0188">
      <w:pPr>
        <w:pStyle w:val="ListParagraph"/>
        <w:numPr>
          <w:ilvl w:val="0"/>
          <w:numId w:val="5"/>
        </w:numPr>
        <w:spacing w:line="276" w:lineRule="auto"/>
        <w:jc w:val="both"/>
        <w:rPr>
          <w:rFonts w:ascii="Arial" w:hAnsi="Arial" w:cs="Arial"/>
        </w:rPr>
      </w:pPr>
      <w:r w:rsidRPr="00871F97">
        <w:rPr>
          <w:rFonts w:ascii="Arial" w:hAnsi="Arial" w:cs="Arial"/>
          <w:lang w:val="en-GB"/>
        </w:rPr>
        <w:t>% of health care facilities with reliable electricity  </w:t>
      </w:r>
      <w:r w:rsidRPr="00871F97">
        <w:rPr>
          <w:rFonts w:ascii="Arial" w:hAnsi="Arial" w:cs="Arial"/>
        </w:rPr>
        <w:t> </w:t>
      </w:r>
    </w:p>
    <w:p w14:paraId="7DDEF156" w14:textId="11B6F878" w:rsidR="00871F97" w:rsidRDefault="00871F97" w:rsidP="00DB0188">
      <w:pPr>
        <w:pStyle w:val="ListParagraph"/>
        <w:numPr>
          <w:ilvl w:val="0"/>
          <w:numId w:val="5"/>
        </w:numPr>
        <w:spacing w:line="276" w:lineRule="auto"/>
        <w:jc w:val="both"/>
        <w:rPr>
          <w:rFonts w:ascii="Arial" w:hAnsi="Arial" w:cs="Arial"/>
        </w:rPr>
      </w:pPr>
      <w:r w:rsidRPr="00871F97">
        <w:rPr>
          <w:rFonts w:ascii="Arial" w:hAnsi="Arial" w:cs="Arial"/>
        </w:rPr>
        <w:t>% of people who reported feeling safe when accessing health services </w:t>
      </w:r>
    </w:p>
    <w:p w14:paraId="0A63D796" w14:textId="5EE4E951" w:rsidR="00871F97" w:rsidRDefault="00871F97" w:rsidP="00DB0188">
      <w:pPr>
        <w:pStyle w:val="ListParagraph"/>
        <w:numPr>
          <w:ilvl w:val="0"/>
          <w:numId w:val="5"/>
        </w:numPr>
        <w:spacing w:line="276" w:lineRule="auto"/>
        <w:jc w:val="both"/>
        <w:rPr>
          <w:rFonts w:ascii="Arial" w:hAnsi="Arial" w:cs="Arial"/>
        </w:rPr>
      </w:pPr>
      <w:r w:rsidRPr="00871F97">
        <w:rPr>
          <w:rFonts w:ascii="Arial" w:hAnsi="Arial" w:cs="Arial"/>
        </w:rPr>
        <w:t>% of targeted people who are aware of protection services available in their community </w:t>
      </w:r>
    </w:p>
    <w:p w14:paraId="5A7F6A70" w14:textId="6CA8ADF1" w:rsidR="00871F97" w:rsidRDefault="00871F97" w:rsidP="00DB0188">
      <w:pPr>
        <w:pStyle w:val="ListParagraph"/>
        <w:numPr>
          <w:ilvl w:val="0"/>
          <w:numId w:val="5"/>
        </w:numPr>
        <w:spacing w:line="276" w:lineRule="auto"/>
        <w:jc w:val="both"/>
        <w:rPr>
          <w:rFonts w:ascii="Arial" w:hAnsi="Arial" w:cs="Arial"/>
        </w:rPr>
      </w:pPr>
      <w:r w:rsidRPr="00871F97">
        <w:rPr>
          <w:rFonts w:ascii="Arial" w:hAnsi="Arial" w:cs="Arial"/>
        </w:rPr>
        <w:t>% of people who reported being able to meet their basic needs </w:t>
      </w:r>
    </w:p>
    <w:p w14:paraId="517BCD76" w14:textId="2D5112AD" w:rsidR="003676D3" w:rsidRPr="00055779" w:rsidRDefault="00871F97" w:rsidP="00055779">
      <w:pPr>
        <w:pStyle w:val="ListParagraph"/>
        <w:numPr>
          <w:ilvl w:val="0"/>
          <w:numId w:val="5"/>
        </w:numPr>
        <w:spacing w:line="276" w:lineRule="auto"/>
        <w:jc w:val="both"/>
        <w:rPr>
          <w:rFonts w:ascii="Arial" w:hAnsi="Arial" w:cs="Arial"/>
        </w:rPr>
      </w:pPr>
      <w:r>
        <w:rPr>
          <w:rFonts w:ascii="Arial" w:hAnsi="Arial" w:cs="Arial"/>
        </w:rPr>
        <w:t xml:space="preserve">Ratio of </w:t>
      </w:r>
      <w:r w:rsidR="00A119F8">
        <w:rPr>
          <w:rFonts w:ascii="Arial" w:hAnsi="Arial" w:cs="Arial"/>
        </w:rPr>
        <w:t>visits per beneficiary to the same health care facility</w:t>
      </w:r>
      <w:r w:rsidR="006C4D05">
        <w:rPr>
          <w:rFonts w:ascii="Arial" w:hAnsi="Arial" w:cs="Arial"/>
        </w:rPr>
        <w:t>.</w:t>
      </w:r>
    </w:p>
    <w:p w14:paraId="1D94AD8F" w14:textId="77777777" w:rsidR="00871F97" w:rsidRPr="00871F97" w:rsidRDefault="00871F97" w:rsidP="00871F97">
      <w:pPr>
        <w:pStyle w:val="ListParagraph"/>
        <w:spacing w:line="276" w:lineRule="auto"/>
        <w:jc w:val="both"/>
        <w:rPr>
          <w:rFonts w:ascii="Arial" w:hAnsi="Arial" w:cs="Arial"/>
        </w:rPr>
      </w:pPr>
    </w:p>
    <w:p w14:paraId="66A98F00" w14:textId="14A87AB3" w:rsidR="004939C0" w:rsidRDefault="00A119F8" w:rsidP="00EA624F">
      <w:pPr>
        <w:pStyle w:val="Heading2"/>
        <w:rPr>
          <w:rFonts w:ascii="Arial" w:hAnsi="Arial" w:cs="Arial"/>
        </w:rPr>
      </w:pPr>
      <w:r w:rsidRPr="702C5E04">
        <w:rPr>
          <w:rFonts w:ascii="Arial" w:hAnsi="Arial" w:cs="Arial"/>
        </w:rPr>
        <w:t>Thematic Coverage</w:t>
      </w:r>
    </w:p>
    <w:p w14:paraId="46D039E7" w14:textId="55E4681E" w:rsidR="00871F97" w:rsidRPr="00112565" w:rsidRDefault="6D5BAD7F" w:rsidP="00F64590">
      <w:pPr>
        <w:rPr>
          <w:rFonts w:asciiTheme="minorBidi" w:hAnsiTheme="minorBidi"/>
        </w:rPr>
      </w:pPr>
      <w:r w:rsidRPr="16328C2E">
        <w:rPr>
          <w:rFonts w:asciiTheme="minorBidi" w:hAnsiTheme="minorBidi"/>
        </w:rPr>
        <w:t>The exercise aims to investigate the key thematic areas outlined below in health, cash, and protection. Consultants are encouraged to expand on these predefined topics to provide a more comprehensive and in-depth analysis of the context, the needs of the affected population, and the impact of existing services. This approach will ensure a more nuanced understanding of the situation and support the development of targeted and effective interventions.</w:t>
      </w:r>
    </w:p>
    <w:p w14:paraId="463D4F89" w14:textId="13AD732E" w:rsidR="00F64590" w:rsidRPr="00112565" w:rsidRDefault="00F64590" w:rsidP="00DB0188">
      <w:pPr>
        <w:pStyle w:val="ListParagraph"/>
        <w:numPr>
          <w:ilvl w:val="0"/>
          <w:numId w:val="6"/>
        </w:numPr>
        <w:rPr>
          <w:rFonts w:asciiTheme="minorBidi" w:hAnsiTheme="minorBidi"/>
        </w:rPr>
      </w:pPr>
      <w:r w:rsidRPr="00112565">
        <w:rPr>
          <w:rFonts w:asciiTheme="minorBidi" w:hAnsiTheme="minorBidi"/>
        </w:rPr>
        <w:t>Access to Prehospital, Primary, and Secondary Health Services</w:t>
      </w:r>
      <w:r w:rsidR="00C66AEB" w:rsidRPr="00112565">
        <w:rPr>
          <w:rFonts w:asciiTheme="minorBidi" w:hAnsiTheme="minorBidi"/>
        </w:rPr>
        <w:t>: Examining</w:t>
      </w:r>
      <w:r w:rsidRPr="00112565">
        <w:rPr>
          <w:rFonts w:asciiTheme="minorBidi" w:hAnsiTheme="minorBidi"/>
        </w:rPr>
        <w:t xml:space="preserve"> the availability and accessibility of healthcare services </w:t>
      </w:r>
      <w:r w:rsidR="00F15AEF" w:rsidRPr="00112565">
        <w:rPr>
          <w:rFonts w:asciiTheme="minorBidi" w:hAnsiTheme="minorBidi"/>
        </w:rPr>
        <w:t xml:space="preserve">while </w:t>
      </w:r>
      <w:r w:rsidRPr="00112565">
        <w:rPr>
          <w:rFonts w:asciiTheme="minorBidi" w:hAnsiTheme="minorBidi"/>
        </w:rPr>
        <w:t>identify</w:t>
      </w:r>
      <w:r w:rsidR="00F15AEF" w:rsidRPr="00112565">
        <w:rPr>
          <w:rFonts w:asciiTheme="minorBidi" w:hAnsiTheme="minorBidi"/>
        </w:rPr>
        <w:t>ing</w:t>
      </w:r>
      <w:r w:rsidRPr="00112565">
        <w:rPr>
          <w:rFonts w:asciiTheme="minorBidi" w:hAnsiTheme="minorBidi"/>
        </w:rPr>
        <w:t xml:space="preserve"> disparities in access based on geographic location, socioeconomic status, and other factors affecting healthcare provision.</w:t>
      </w:r>
    </w:p>
    <w:p w14:paraId="2FFA6DEF" w14:textId="251C7844" w:rsidR="00F64590" w:rsidRPr="00112565" w:rsidRDefault="00F64590" w:rsidP="00DB0188">
      <w:pPr>
        <w:pStyle w:val="ListParagraph"/>
        <w:numPr>
          <w:ilvl w:val="0"/>
          <w:numId w:val="6"/>
        </w:numPr>
        <w:rPr>
          <w:rFonts w:asciiTheme="minorBidi" w:hAnsiTheme="minorBidi"/>
        </w:rPr>
      </w:pPr>
      <w:r w:rsidRPr="00112565">
        <w:rPr>
          <w:rFonts w:asciiTheme="minorBidi" w:hAnsiTheme="minorBidi"/>
        </w:rPr>
        <w:lastRenderedPageBreak/>
        <w:t>Barriers to Health Services</w:t>
      </w:r>
      <w:r w:rsidR="00C66AEB" w:rsidRPr="00112565">
        <w:rPr>
          <w:rFonts w:asciiTheme="minorBidi" w:hAnsiTheme="minorBidi"/>
        </w:rPr>
        <w:t xml:space="preserve">: </w:t>
      </w:r>
      <w:r w:rsidRPr="00112565">
        <w:rPr>
          <w:rFonts w:asciiTheme="minorBidi" w:hAnsiTheme="minorBidi"/>
        </w:rPr>
        <w:t xml:space="preserve">Understanding the barriers that limit access to healthcare is crucial. This includes financial, geographical, cultural, and systemic challenges such as affordability, distance to health facilities, shortages of medical personnel and supplies, </w:t>
      </w:r>
      <w:r w:rsidR="00F15AEF" w:rsidRPr="00112565">
        <w:rPr>
          <w:rFonts w:asciiTheme="minorBidi" w:hAnsiTheme="minorBidi"/>
        </w:rPr>
        <w:t>etc.</w:t>
      </w:r>
    </w:p>
    <w:p w14:paraId="75C96E2D" w14:textId="559DABE4" w:rsidR="00F15AEF" w:rsidRPr="00112565" w:rsidRDefault="00F64590" w:rsidP="00DB0188">
      <w:pPr>
        <w:pStyle w:val="ListParagraph"/>
        <w:numPr>
          <w:ilvl w:val="0"/>
          <w:numId w:val="6"/>
        </w:numPr>
        <w:rPr>
          <w:rFonts w:asciiTheme="minorBidi" w:hAnsiTheme="minorBidi"/>
        </w:rPr>
      </w:pPr>
      <w:r w:rsidRPr="00112565">
        <w:rPr>
          <w:rFonts w:asciiTheme="minorBidi" w:hAnsiTheme="minorBidi"/>
        </w:rPr>
        <w:t>Vaccination Coverage and Accessibility</w:t>
      </w:r>
      <w:r w:rsidR="00C66AEB" w:rsidRPr="00112565">
        <w:rPr>
          <w:rFonts w:asciiTheme="minorBidi" w:hAnsiTheme="minorBidi"/>
        </w:rPr>
        <w:t xml:space="preserve">: </w:t>
      </w:r>
      <w:r w:rsidR="00F15AEF" w:rsidRPr="00112565">
        <w:rPr>
          <w:rFonts w:asciiTheme="minorBidi" w:hAnsiTheme="minorBidi"/>
        </w:rPr>
        <w:t>Assessing</w:t>
      </w:r>
      <w:r w:rsidRPr="00112565">
        <w:rPr>
          <w:rFonts w:asciiTheme="minorBidi" w:hAnsiTheme="minorBidi"/>
        </w:rPr>
        <w:t xml:space="preserve"> immunization rates, focusing on children, and identify gaps in vaccine distribution due to supply chain issues, misinformation, </w:t>
      </w:r>
      <w:r w:rsidR="00F15AEF" w:rsidRPr="00112565">
        <w:rPr>
          <w:rFonts w:asciiTheme="minorBidi" w:hAnsiTheme="minorBidi"/>
        </w:rPr>
        <w:t xml:space="preserve">or </w:t>
      </w:r>
      <w:r w:rsidRPr="00112565">
        <w:rPr>
          <w:rFonts w:asciiTheme="minorBidi" w:hAnsiTheme="minorBidi"/>
        </w:rPr>
        <w:t>lack of awareness</w:t>
      </w:r>
      <w:r w:rsidR="00F15AEF" w:rsidRPr="00112565">
        <w:rPr>
          <w:rFonts w:asciiTheme="minorBidi" w:hAnsiTheme="minorBidi"/>
        </w:rPr>
        <w:t>.</w:t>
      </w:r>
    </w:p>
    <w:p w14:paraId="6FDCC338" w14:textId="6580401C" w:rsidR="00F64590" w:rsidRPr="00112565" w:rsidRDefault="00F64590" w:rsidP="00DB0188">
      <w:pPr>
        <w:pStyle w:val="ListParagraph"/>
        <w:numPr>
          <w:ilvl w:val="0"/>
          <w:numId w:val="6"/>
        </w:numPr>
        <w:rPr>
          <w:rFonts w:asciiTheme="minorBidi" w:hAnsiTheme="minorBidi"/>
        </w:rPr>
      </w:pPr>
      <w:r w:rsidRPr="00112565">
        <w:rPr>
          <w:rFonts w:asciiTheme="minorBidi" w:hAnsiTheme="minorBidi"/>
        </w:rPr>
        <w:t>Health Expenses and Financial Burden</w:t>
      </w:r>
      <w:r w:rsidR="00C66AEB" w:rsidRPr="00112565">
        <w:rPr>
          <w:rFonts w:asciiTheme="minorBidi" w:hAnsiTheme="minorBidi"/>
        </w:rPr>
        <w:t xml:space="preserve">: </w:t>
      </w:r>
      <w:r w:rsidR="00F15AEF" w:rsidRPr="00112565">
        <w:rPr>
          <w:rFonts w:asciiTheme="minorBidi" w:hAnsiTheme="minorBidi"/>
        </w:rPr>
        <w:t>Understanding f</w:t>
      </w:r>
      <w:r w:rsidRPr="00112565">
        <w:rPr>
          <w:rFonts w:asciiTheme="minorBidi" w:hAnsiTheme="minorBidi"/>
        </w:rPr>
        <w:t>inancial barriers to healthcare, such as out-of-pocket costs for medications,</w:t>
      </w:r>
      <w:r w:rsidR="00F15AEF" w:rsidRPr="00112565">
        <w:rPr>
          <w:rFonts w:asciiTheme="minorBidi" w:hAnsiTheme="minorBidi"/>
        </w:rPr>
        <w:t xml:space="preserve"> transportation,</w:t>
      </w:r>
      <w:r w:rsidRPr="00112565">
        <w:rPr>
          <w:rFonts w:asciiTheme="minorBidi" w:hAnsiTheme="minorBidi"/>
        </w:rPr>
        <w:t xml:space="preserve"> consultations,</w:t>
      </w:r>
      <w:r w:rsidR="00F15AEF" w:rsidRPr="00112565">
        <w:rPr>
          <w:rFonts w:asciiTheme="minorBidi" w:hAnsiTheme="minorBidi"/>
        </w:rPr>
        <w:t xml:space="preserve"> </w:t>
      </w:r>
      <w:r w:rsidRPr="00112565">
        <w:rPr>
          <w:rFonts w:asciiTheme="minorBidi" w:hAnsiTheme="minorBidi"/>
        </w:rPr>
        <w:t>treatments</w:t>
      </w:r>
      <w:r w:rsidR="00F15AEF" w:rsidRPr="00112565">
        <w:rPr>
          <w:rFonts w:asciiTheme="minorBidi" w:hAnsiTheme="minorBidi"/>
        </w:rPr>
        <w:t>, etc.</w:t>
      </w:r>
      <w:r w:rsidRPr="00112565">
        <w:rPr>
          <w:rFonts w:asciiTheme="minorBidi" w:hAnsiTheme="minorBidi"/>
        </w:rPr>
        <w:t xml:space="preserve"> The assessment will explore the impact of these expenses on household finances and coping mechanisms</w:t>
      </w:r>
      <w:r w:rsidR="00F15AEF" w:rsidRPr="00112565">
        <w:rPr>
          <w:rFonts w:asciiTheme="minorBidi" w:hAnsiTheme="minorBidi"/>
        </w:rPr>
        <w:t>.</w:t>
      </w:r>
    </w:p>
    <w:p w14:paraId="6DC9B2C7" w14:textId="308E17A5" w:rsidR="00F64590" w:rsidRPr="00112565" w:rsidRDefault="00F64590" w:rsidP="00DB0188">
      <w:pPr>
        <w:pStyle w:val="ListParagraph"/>
        <w:numPr>
          <w:ilvl w:val="0"/>
          <w:numId w:val="6"/>
        </w:numPr>
        <w:rPr>
          <w:rFonts w:asciiTheme="minorBidi" w:hAnsiTheme="minorBidi"/>
        </w:rPr>
      </w:pPr>
      <w:r w:rsidRPr="00112565">
        <w:rPr>
          <w:rFonts w:asciiTheme="minorBidi" w:hAnsiTheme="minorBidi"/>
        </w:rPr>
        <w:t>Satisfaction with Health Services</w:t>
      </w:r>
      <w:r w:rsidR="00C66AEB" w:rsidRPr="00112565">
        <w:rPr>
          <w:rFonts w:asciiTheme="minorBidi" w:hAnsiTheme="minorBidi"/>
        </w:rPr>
        <w:t xml:space="preserve">: </w:t>
      </w:r>
      <w:r w:rsidR="00F15AEF" w:rsidRPr="00112565">
        <w:rPr>
          <w:rFonts w:asciiTheme="minorBidi" w:hAnsiTheme="minorBidi"/>
        </w:rPr>
        <w:t>Providing</w:t>
      </w:r>
      <w:r w:rsidRPr="00112565">
        <w:rPr>
          <w:rFonts w:asciiTheme="minorBidi" w:hAnsiTheme="minorBidi"/>
        </w:rPr>
        <w:t xml:space="preserve"> insights into healthcare quality, accessibility, and responsiveness. </w:t>
      </w:r>
    </w:p>
    <w:p w14:paraId="217313B1" w14:textId="03AB87E1" w:rsidR="00F15AEF" w:rsidRPr="00112565" w:rsidRDefault="00F64590" w:rsidP="00DB0188">
      <w:pPr>
        <w:pStyle w:val="ListParagraph"/>
        <w:numPr>
          <w:ilvl w:val="0"/>
          <w:numId w:val="6"/>
        </w:numPr>
        <w:rPr>
          <w:rFonts w:asciiTheme="minorBidi" w:hAnsiTheme="minorBidi"/>
        </w:rPr>
      </w:pPr>
      <w:r w:rsidRPr="00112565">
        <w:rPr>
          <w:rFonts w:asciiTheme="minorBidi" w:hAnsiTheme="minorBidi"/>
        </w:rPr>
        <w:t>Safe Access to Health Services</w:t>
      </w:r>
      <w:r w:rsidR="00C66AEB" w:rsidRPr="00112565">
        <w:rPr>
          <w:rFonts w:asciiTheme="minorBidi" w:hAnsiTheme="minorBidi"/>
        </w:rPr>
        <w:t xml:space="preserve">: </w:t>
      </w:r>
      <w:r w:rsidR="00F15AEF" w:rsidRPr="00112565">
        <w:rPr>
          <w:rFonts w:asciiTheme="minorBidi" w:hAnsiTheme="minorBidi"/>
        </w:rPr>
        <w:t>Examining</w:t>
      </w:r>
      <w:r w:rsidRPr="00112565">
        <w:rPr>
          <w:rFonts w:asciiTheme="minorBidi" w:hAnsiTheme="minorBidi"/>
        </w:rPr>
        <w:t xml:space="preserve"> the security risks and challenges people face in seeking healthcare, including threats related to conflict, discrimination, or harassment.</w:t>
      </w:r>
    </w:p>
    <w:p w14:paraId="4B3DC5A9" w14:textId="0C6E3FD0" w:rsidR="00F64590" w:rsidRPr="00112565" w:rsidRDefault="00F64590" w:rsidP="00DB0188">
      <w:pPr>
        <w:pStyle w:val="ListParagraph"/>
        <w:numPr>
          <w:ilvl w:val="0"/>
          <w:numId w:val="6"/>
        </w:numPr>
        <w:rPr>
          <w:rFonts w:asciiTheme="minorBidi" w:hAnsiTheme="minorBidi"/>
        </w:rPr>
      </w:pPr>
      <w:r w:rsidRPr="00112565">
        <w:rPr>
          <w:rFonts w:asciiTheme="minorBidi" w:hAnsiTheme="minorBidi"/>
        </w:rPr>
        <w:t>Public Health Risks and Response Systems</w:t>
      </w:r>
      <w:r w:rsidR="00C66AEB" w:rsidRPr="00112565">
        <w:rPr>
          <w:rFonts w:asciiTheme="minorBidi" w:hAnsiTheme="minorBidi"/>
        </w:rPr>
        <w:t xml:space="preserve">: </w:t>
      </w:r>
      <w:r w:rsidR="000E7024" w:rsidRPr="00112565">
        <w:rPr>
          <w:rFonts w:asciiTheme="minorBidi" w:hAnsiTheme="minorBidi"/>
        </w:rPr>
        <w:t>Identifying</w:t>
      </w:r>
      <w:r w:rsidRPr="00112565">
        <w:rPr>
          <w:rFonts w:asciiTheme="minorBidi" w:hAnsiTheme="minorBidi"/>
        </w:rPr>
        <w:t xml:space="preserve"> major public health risks, </w:t>
      </w:r>
      <w:r w:rsidR="00F15AEF" w:rsidRPr="00112565">
        <w:rPr>
          <w:rFonts w:asciiTheme="minorBidi" w:hAnsiTheme="minorBidi"/>
        </w:rPr>
        <w:t xml:space="preserve">and </w:t>
      </w:r>
      <w:r w:rsidRPr="00112565">
        <w:rPr>
          <w:rFonts w:asciiTheme="minorBidi" w:hAnsiTheme="minorBidi"/>
        </w:rPr>
        <w:t>the healthcare sector's preparedness to handle outbreaks and public health emergencies.</w:t>
      </w:r>
    </w:p>
    <w:p w14:paraId="1B40F323" w14:textId="0EEF22DC" w:rsidR="00871F97" w:rsidRPr="00112565" w:rsidRDefault="6D5BAD7F" w:rsidP="00DB0188">
      <w:pPr>
        <w:pStyle w:val="ListParagraph"/>
        <w:numPr>
          <w:ilvl w:val="0"/>
          <w:numId w:val="6"/>
        </w:numPr>
        <w:rPr>
          <w:rFonts w:asciiTheme="minorBidi" w:hAnsiTheme="minorBidi"/>
        </w:rPr>
      </w:pPr>
      <w:r w:rsidRPr="16328C2E">
        <w:rPr>
          <w:rFonts w:asciiTheme="minorBidi" w:hAnsiTheme="minorBidi"/>
        </w:rPr>
        <w:t xml:space="preserve"> Climate-Related Risks and Health Response Capacity</w:t>
      </w:r>
      <w:r w:rsidR="2424F9B5" w:rsidRPr="16328C2E">
        <w:rPr>
          <w:rFonts w:asciiTheme="minorBidi" w:hAnsiTheme="minorBidi"/>
        </w:rPr>
        <w:t xml:space="preserve">: </w:t>
      </w:r>
      <w:r w:rsidR="0F43AEA8" w:rsidRPr="16328C2E">
        <w:rPr>
          <w:rFonts w:asciiTheme="minorBidi" w:hAnsiTheme="minorBidi"/>
        </w:rPr>
        <w:t>Understanding the</w:t>
      </w:r>
      <w:r w:rsidRPr="16328C2E">
        <w:rPr>
          <w:rFonts w:asciiTheme="minorBidi" w:hAnsiTheme="minorBidi"/>
        </w:rPr>
        <w:t xml:space="preserve"> direct impact on public health, increasing risks related to heat stress, waterborne diseases,</w:t>
      </w:r>
      <w:r w:rsidR="0F43AEA8" w:rsidRPr="16328C2E">
        <w:rPr>
          <w:rFonts w:asciiTheme="minorBidi" w:hAnsiTheme="minorBidi"/>
        </w:rPr>
        <w:t xml:space="preserve"> </w:t>
      </w:r>
      <w:r w:rsidRPr="16328C2E">
        <w:rPr>
          <w:rFonts w:asciiTheme="minorBidi" w:hAnsiTheme="minorBidi"/>
        </w:rPr>
        <w:t>vector-borne illnesses</w:t>
      </w:r>
      <w:r w:rsidR="0F43AEA8" w:rsidRPr="16328C2E">
        <w:rPr>
          <w:rFonts w:asciiTheme="minorBidi" w:hAnsiTheme="minorBidi"/>
        </w:rPr>
        <w:t>, etc.</w:t>
      </w:r>
      <w:r w:rsidRPr="16328C2E">
        <w:rPr>
          <w:rFonts w:asciiTheme="minorBidi" w:hAnsiTheme="minorBidi"/>
        </w:rPr>
        <w:t xml:space="preserve"> </w:t>
      </w:r>
    </w:p>
    <w:p w14:paraId="039CBBC2" w14:textId="5634E64C" w:rsidR="2EF7298E" w:rsidRDefault="2EF7298E" w:rsidP="00DB0188">
      <w:pPr>
        <w:pStyle w:val="ListParagraph"/>
        <w:numPr>
          <w:ilvl w:val="0"/>
          <w:numId w:val="6"/>
        </w:numPr>
        <w:rPr>
          <w:rFonts w:asciiTheme="minorBidi" w:hAnsiTheme="minorBidi"/>
        </w:rPr>
      </w:pPr>
      <w:r w:rsidRPr="16328C2E">
        <w:rPr>
          <w:rFonts w:asciiTheme="minorBidi" w:hAnsiTheme="minorBidi"/>
        </w:rPr>
        <w:t>Violent Incidents in Facilities: Examining the occurrence of violent incidents within healthcare, aid, or other service facilities, and identify factors contributing to such violence.</w:t>
      </w:r>
    </w:p>
    <w:p w14:paraId="35B37177" w14:textId="1AB10FCC" w:rsidR="2EF7298E" w:rsidRDefault="2EF7298E" w:rsidP="00DB0188">
      <w:pPr>
        <w:pStyle w:val="ListParagraph"/>
        <w:numPr>
          <w:ilvl w:val="0"/>
          <w:numId w:val="6"/>
        </w:numPr>
        <w:rPr>
          <w:rFonts w:asciiTheme="minorBidi" w:hAnsiTheme="minorBidi"/>
        </w:rPr>
      </w:pPr>
      <w:r w:rsidRPr="1400AA50">
        <w:rPr>
          <w:rFonts w:asciiTheme="minorBidi" w:hAnsiTheme="minorBidi"/>
        </w:rPr>
        <w:t xml:space="preserve">Capacity of Staff to Deescalate: </w:t>
      </w:r>
      <w:r w:rsidR="3A473F52" w:rsidRPr="1400AA50">
        <w:rPr>
          <w:rFonts w:asciiTheme="minorBidi" w:hAnsiTheme="minorBidi"/>
        </w:rPr>
        <w:t xml:space="preserve">Assessing </w:t>
      </w:r>
      <w:r w:rsidRPr="1400AA50">
        <w:rPr>
          <w:rFonts w:asciiTheme="minorBidi" w:hAnsiTheme="minorBidi"/>
        </w:rPr>
        <w:t>the ability of staff to manage and deescalate potentially violent or tense situations, ensuring a safe environment for beneficiaries.</w:t>
      </w:r>
    </w:p>
    <w:p w14:paraId="3D4BB493" w14:textId="35472237" w:rsidR="2EF7298E" w:rsidRDefault="2EF7298E" w:rsidP="00DB0188">
      <w:pPr>
        <w:pStyle w:val="ListParagraph"/>
        <w:numPr>
          <w:ilvl w:val="0"/>
          <w:numId w:val="6"/>
        </w:numPr>
        <w:rPr>
          <w:rFonts w:asciiTheme="minorBidi" w:hAnsiTheme="minorBidi"/>
        </w:rPr>
      </w:pPr>
      <w:r w:rsidRPr="16328C2E">
        <w:rPr>
          <w:rFonts w:asciiTheme="minorBidi" w:hAnsiTheme="minorBidi"/>
        </w:rPr>
        <w:t>Discrimination Against Specific Groups: Identifying any instances of discrimination or marginalization against vulnerable groups within the community, such as women, children, or minority groups.</w:t>
      </w:r>
    </w:p>
    <w:p w14:paraId="50A2AA20" w14:textId="7DA1F4FA" w:rsidR="2EF7298E" w:rsidRDefault="2EF7298E" w:rsidP="00DB0188">
      <w:pPr>
        <w:pStyle w:val="ListParagraph"/>
        <w:numPr>
          <w:ilvl w:val="0"/>
          <w:numId w:val="6"/>
        </w:numPr>
        <w:rPr>
          <w:rFonts w:asciiTheme="minorBidi" w:hAnsiTheme="minorBidi"/>
        </w:rPr>
      </w:pPr>
      <w:r w:rsidRPr="16328C2E">
        <w:rPr>
          <w:rFonts w:asciiTheme="minorBidi" w:hAnsiTheme="minorBidi"/>
        </w:rPr>
        <w:t>Awareness of Protection Services Provided: Measuring community awareness of available protection services and the extent to which people are informed about these resources.</w:t>
      </w:r>
    </w:p>
    <w:p w14:paraId="5533ED94" w14:textId="6E17B32E" w:rsidR="2EF7298E" w:rsidRDefault="2EF7298E" w:rsidP="00DB0188">
      <w:pPr>
        <w:pStyle w:val="ListParagraph"/>
        <w:numPr>
          <w:ilvl w:val="0"/>
          <w:numId w:val="6"/>
        </w:numPr>
        <w:rPr>
          <w:rFonts w:asciiTheme="minorBidi" w:hAnsiTheme="minorBidi"/>
        </w:rPr>
      </w:pPr>
      <w:r w:rsidRPr="16328C2E">
        <w:rPr>
          <w:rFonts w:asciiTheme="minorBidi" w:hAnsiTheme="minorBidi"/>
        </w:rPr>
        <w:t>Ability to Access Protection Services: Assessing barriers to accessing protection services, including physical, financial, social obstacles, etc. that may prevent individuals from receiving the support they need.</w:t>
      </w:r>
    </w:p>
    <w:p w14:paraId="7DC55CA9" w14:textId="75D352F8" w:rsidR="000C286B" w:rsidRPr="00112565" w:rsidRDefault="302E9477" w:rsidP="00DB0188">
      <w:pPr>
        <w:pStyle w:val="ListParagraph"/>
        <w:numPr>
          <w:ilvl w:val="0"/>
          <w:numId w:val="6"/>
        </w:numPr>
        <w:rPr>
          <w:rFonts w:asciiTheme="minorBidi" w:hAnsiTheme="minorBidi"/>
        </w:rPr>
      </w:pPr>
      <w:r w:rsidRPr="16328C2E">
        <w:rPr>
          <w:rFonts w:asciiTheme="minorBidi" w:hAnsiTheme="minorBidi"/>
        </w:rPr>
        <w:t xml:space="preserve">Past or Ongoing Support, in Addition to Source: </w:t>
      </w:r>
      <w:r w:rsidR="78CD2070" w:rsidRPr="16328C2E">
        <w:rPr>
          <w:rFonts w:asciiTheme="minorBidi" w:hAnsiTheme="minorBidi"/>
        </w:rPr>
        <w:t>Evaluating</w:t>
      </w:r>
      <w:r w:rsidRPr="16328C2E">
        <w:rPr>
          <w:rFonts w:asciiTheme="minorBidi" w:hAnsiTheme="minorBidi"/>
        </w:rPr>
        <w:t xml:space="preserve"> any past or ongoing cash support received by the population, identifying the sources of this aid and how it has affected beneficiaries.</w:t>
      </w:r>
    </w:p>
    <w:p w14:paraId="3F6317DA" w14:textId="3F546E4E" w:rsidR="000C286B" w:rsidRPr="00112565" w:rsidRDefault="302E9477" w:rsidP="00DB0188">
      <w:pPr>
        <w:pStyle w:val="ListParagraph"/>
        <w:numPr>
          <w:ilvl w:val="0"/>
          <w:numId w:val="6"/>
        </w:numPr>
        <w:rPr>
          <w:rFonts w:asciiTheme="minorBidi" w:hAnsiTheme="minorBidi"/>
        </w:rPr>
      </w:pPr>
      <w:r w:rsidRPr="16328C2E">
        <w:rPr>
          <w:rFonts w:asciiTheme="minorBidi" w:hAnsiTheme="minorBidi"/>
        </w:rPr>
        <w:t xml:space="preserve">Ability to Cover Basic Needs: </w:t>
      </w:r>
      <w:r w:rsidR="592A64A5" w:rsidRPr="16328C2E">
        <w:rPr>
          <w:rFonts w:asciiTheme="minorBidi" w:hAnsiTheme="minorBidi"/>
        </w:rPr>
        <w:t>Assessing</w:t>
      </w:r>
      <w:r w:rsidRPr="16328C2E">
        <w:rPr>
          <w:rFonts w:asciiTheme="minorBidi" w:hAnsiTheme="minorBidi"/>
        </w:rPr>
        <w:t xml:space="preserve"> the population's ability to meet basic needs </w:t>
      </w:r>
      <w:r w:rsidR="592A64A5" w:rsidRPr="16328C2E">
        <w:rPr>
          <w:rFonts w:asciiTheme="minorBidi" w:hAnsiTheme="minorBidi"/>
        </w:rPr>
        <w:t xml:space="preserve">and </w:t>
      </w:r>
      <w:r w:rsidRPr="16328C2E">
        <w:rPr>
          <w:rFonts w:asciiTheme="minorBidi" w:hAnsiTheme="minorBidi"/>
        </w:rPr>
        <w:t>examining the role of cash assistance in fulfilling these needs.</w:t>
      </w:r>
    </w:p>
    <w:p w14:paraId="0473FC77" w14:textId="2A72A1BB" w:rsidR="00EE40C5" w:rsidRPr="00112565" w:rsidRDefault="302E9477" w:rsidP="00DB0188">
      <w:pPr>
        <w:pStyle w:val="ListParagraph"/>
        <w:numPr>
          <w:ilvl w:val="0"/>
          <w:numId w:val="6"/>
        </w:numPr>
        <w:rPr>
          <w:rFonts w:asciiTheme="minorBidi" w:hAnsiTheme="minorBidi"/>
        </w:rPr>
      </w:pPr>
      <w:r w:rsidRPr="16328C2E">
        <w:rPr>
          <w:rFonts w:asciiTheme="minorBidi" w:hAnsiTheme="minorBidi"/>
        </w:rPr>
        <w:t xml:space="preserve">Access to Market and Financial Intermediaries: </w:t>
      </w:r>
      <w:r w:rsidR="592A64A5" w:rsidRPr="16328C2E">
        <w:rPr>
          <w:rFonts w:asciiTheme="minorBidi" w:hAnsiTheme="minorBidi"/>
        </w:rPr>
        <w:t>Exploring</w:t>
      </w:r>
      <w:r w:rsidRPr="16328C2E">
        <w:rPr>
          <w:rFonts w:asciiTheme="minorBidi" w:hAnsiTheme="minorBidi"/>
        </w:rPr>
        <w:t xml:space="preserve"> how well beneficiaries can access local markets and financial services, including banks or mobile money platforms, to use or convert cash assistance.</w:t>
      </w:r>
    </w:p>
    <w:p w14:paraId="44BD3F9C" w14:textId="58BA4DAE" w:rsidR="000C286B" w:rsidRPr="00112565" w:rsidRDefault="302E9477" w:rsidP="770376E4">
      <w:pPr>
        <w:pStyle w:val="ListParagraph"/>
        <w:numPr>
          <w:ilvl w:val="0"/>
          <w:numId w:val="6"/>
        </w:numPr>
        <w:rPr>
          <w:rFonts w:asciiTheme="minorBidi" w:hAnsiTheme="minorBidi"/>
        </w:rPr>
      </w:pPr>
      <w:r w:rsidRPr="770376E4">
        <w:rPr>
          <w:rFonts w:asciiTheme="minorBidi" w:hAnsiTheme="minorBidi"/>
        </w:rPr>
        <w:t xml:space="preserve">Negative Coping Strategies: </w:t>
      </w:r>
      <w:r w:rsidR="592A64A5" w:rsidRPr="770376E4">
        <w:rPr>
          <w:rFonts w:asciiTheme="minorBidi" w:hAnsiTheme="minorBidi"/>
        </w:rPr>
        <w:t>Identifying</w:t>
      </w:r>
      <w:r w:rsidRPr="770376E4">
        <w:rPr>
          <w:rFonts w:asciiTheme="minorBidi" w:hAnsiTheme="minorBidi"/>
        </w:rPr>
        <w:t xml:space="preserve"> harmful </w:t>
      </w:r>
      <w:r w:rsidR="50A29B78" w:rsidRPr="770376E4">
        <w:rPr>
          <w:rFonts w:asciiTheme="minorBidi" w:hAnsiTheme="minorBidi"/>
        </w:rPr>
        <w:t>t76</w:t>
      </w:r>
      <w:r w:rsidRPr="770376E4">
        <w:rPr>
          <w:rFonts w:asciiTheme="minorBidi" w:hAnsiTheme="minorBidi"/>
        </w:rPr>
        <w:t>ed by households in response to financial distress, such as selling assets or reducing food consumption.</w:t>
      </w:r>
    </w:p>
    <w:p w14:paraId="1EB10875" w14:textId="2B7AEDEF" w:rsidR="000C286B" w:rsidRPr="00112565" w:rsidRDefault="302E9477" w:rsidP="00DB0188">
      <w:pPr>
        <w:pStyle w:val="ListParagraph"/>
        <w:numPr>
          <w:ilvl w:val="0"/>
          <w:numId w:val="6"/>
        </w:numPr>
        <w:rPr>
          <w:rFonts w:asciiTheme="minorBidi" w:hAnsiTheme="minorBidi"/>
        </w:rPr>
      </w:pPr>
      <w:r w:rsidRPr="16328C2E">
        <w:rPr>
          <w:rFonts w:asciiTheme="minorBidi" w:hAnsiTheme="minorBidi"/>
        </w:rPr>
        <w:lastRenderedPageBreak/>
        <w:t xml:space="preserve">Preference in Terms of Service Modality: </w:t>
      </w:r>
      <w:r w:rsidR="592A64A5" w:rsidRPr="16328C2E">
        <w:rPr>
          <w:rFonts w:asciiTheme="minorBidi" w:hAnsiTheme="minorBidi"/>
        </w:rPr>
        <w:t>Investigating</w:t>
      </w:r>
      <w:r w:rsidRPr="16328C2E">
        <w:rPr>
          <w:rFonts w:asciiTheme="minorBidi" w:hAnsiTheme="minorBidi"/>
        </w:rPr>
        <w:t xml:space="preserve"> the preferred methods of delivering cash support </w:t>
      </w:r>
      <w:r w:rsidR="592A64A5" w:rsidRPr="16328C2E">
        <w:rPr>
          <w:rFonts w:asciiTheme="minorBidi" w:hAnsiTheme="minorBidi"/>
        </w:rPr>
        <w:t xml:space="preserve">such as </w:t>
      </w:r>
      <w:r w:rsidRPr="16328C2E">
        <w:rPr>
          <w:rFonts w:asciiTheme="minorBidi" w:hAnsiTheme="minorBidi"/>
        </w:rPr>
        <w:t>direct transfers, vouchers</w:t>
      </w:r>
      <w:r w:rsidR="592A64A5" w:rsidRPr="16328C2E">
        <w:rPr>
          <w:rFonts w:asciiTheme="minorBidi" w:hAnsiTheme="minorBidi"/>
        </w:rPr>
        <w:t xml:space="preserve"> and in-kind </w:t>
      </w:r>
      <w:r w:rsidRPr="16328C2E">
        <w:rPr>
          <w:rFonts w:asciiTheme="minorBidi" w:hAnsiTheme="minorBidi"/>
        </w:rPr>
        <w:t>to understand the community's needs and preferences for service delivery.</w:t>
      </w:r>
    </w:p>
    <w:p w14:paraId="0923A8C1" w14:textId="3BE7123E" w:rsidR="006C387B" w:rsidRPr="00DE79D2" w:rsidRDefault="302E9477" w:rsidP="00DB0188">
      <w:pPr>
        <w:pStyle w:val="ListParagraph"/>
        <w:numPr>
          <w:ilvl w:val="0"/>
          <w:numId w:val="6"/>
        </w:numPr>
        <w:spacing w:line="276" w:lineRule="auto"/>
        <w:rPr>
          <w:rFonts w:asciiTheme="minorBidi" w:hAnsiTheme="minorBidi"/>
        </w:rPr>
      </w:pPr>
      <w:r w:rsidRPr="16328C2E">
        <w:rPr>
          <w:rFonts w:asciiTheme="minorBidi" w:hAnsiTheme="minorBidi"/>
        </w:rPr>
        <w:t xml:space="preserve">Gender Dynamics: </w:t>
      </w:r>
      <w:r w:rsidR="592A64A5" w:rsidRPr="16328C2E">
        <w:rPr>
          <w:rFonts w:asciiTheme="minorBidi" w:hAnsiTheme="minorBidi"/>
        </w:rPr>
        <w:t xml:space="preserve">Analyzing </w:t>
      </w:r>
      <w:r w:rsidRPr="16328C2E">
        <w:rPr>
          <w:rFonts w:asciiTheme="minorBidi" w:hAnsiTheme="minorBidi"/>
        </w:rPr>
        <w:t>how cash assistance affects different genders, focusing on disparities in access, control over resources, and decision-making within households.</w:t>
      </w:r>
    </w:p>
    <w:p w14:paraId="737A2D7E" w14:textId="2B5603BE" w:rsidR="004939C0" w:rsidRPr="00714496" w:rsidRDefault="003E241D" w:rsidP="003E241D">
      <w:pPr>
        <w:pStyle w:val="Heading2"/>
        <w:rPr>
          <w:rFonts w:ascii="Arial" w:hAnsi="Arial" w:cs="Arial"/>
        </w:rPr>
      </w:pPr>
      <w:r w:rsidRPr="00714496">
        <w:rPr>
          <w:rFonts w:ascii="Arial" w:hAnsi="Arial" w:cs="Arial"/>
        </w:rPr>
        <w:t>Methodology and Data Collection Methods</w:t>
      </w:r>
    </w:p>
    <w:p w14:paraId="5474F133" w14:textId="18D60E30" w:rsidR="00502F3E" w:rsidRDefault="00155B14" w:rsidP="00155B14">
      <w:pPr>
        <w:spacing w:line="276" w:lineRule="auto"/>
        <w:jc w:val="both"/>
        <w:rPr>
          <w:rFonts w:ascii="Arial" w:hAnsi="Arial" w:cs="Arial"/>
        </w:rPr>
      </w:pPr>
      <w:proofErr w:type="gramStart"/>
      <w:r w:rsidRPr="00155B14">
        <w:rPr>
          <w:rFonts w:ascii="Arial" w:hAnsi="Arial" w:cs="Arial"/>
        </w:rPr>
        <w:t>The needs</w:t>
      </w:r>
      <w:proofErr w:type="gramEnd"/>
      <w:r w:rsidRPr="00155B14">
        <w:rPr>
          <w:rFonts w:ascii="Arial" w:hAnsi="Arial" w:cs="Arial"/>
        </w:rPr>
        <w:t xml:space="preserve"> assessment and outcome monitoring will adopt a mixed-methods approach, integrating both quantitative and qualitative data collection techniques to ensure a comprehensive understanding of the target group’s needs and the </w:t>
      </w:r>
      <w:r>
        <w:rPr>
          <w:rFonts w:ascii="Arial" w:hAnsi="Arial" w:cs="Arial"/>
        </w:rPr>
        <w:t>impact</w:t>
      </w:r>
      <w:r w:rsidRPr="00155B14">
        <w:rPr>
          <w:rFonts w:ascii="Arial" w:hAnsi="Arial" w:cs="Arial"/>
        </w:rPr>
        <w:t xml:space="preserve"> of </w:t>
      </w:r>
      <w:r>
        <w:rPr>
          <w:rFonts w:ascii="Arial" w:hAnsi="Arial" w:cs="Arial"/>
        </w:rPr>
        <w:t>ongoing</w:t>
      </w:r>
      <w:r w:rsidRPr="00155B14">
        <w:rPr>
          <w:rFonts w:ascii="Arial" w:hAnsi="Arial" w:cs="Arial"/>
        </w:rPr>
        <w:t xml:space="preserve"> interventions.</w:t>
      </w:r>
    </w:p>
    <w:p w14:paraId="429D65C5" w14:textId="7956F5C0" w:rsidR="00155B14" w:rsidRDefault="00155B14" w:rsidP="00155B14">
      <w:pPr>
        <w:spacing w:line="276" w:lineRule="auto"/>
        <w:jc w:val="both"/>
        <w:rPr>
          <w:rFonts w:ascii="Arial" w:hAnsi="Arial" w:cs="Arial"/>
        </w:rPr>
      </w:pPr>
      <w:r w:rsidRPr="00155B14">
        <w:rPr>
          <w:rFonts w:ascii="Arial" w:hAnsi="Arial" w:cs="Arial"/>
        </w:rPr>
        <w:t xml:space="preserve">The combination of both data types </w:t>
      </w:r>
      <w:r>
        <w:rPr>
          <w:rFonts w:ascii="Arial" w:hAnsi="Arial" w:cs="Arial"/>
        </w:rPr>
        <w:t>should provide</w:t>
      </w:r>
      <w:r w:rsidRPr="00155B14">
        <w:rPr>
          <w:rFonts w:ascii="Arial" w:hAnsi="Arial" w:cs="Arial"/>
        </w:rPr>
        <w:t xml:space="preserve"> a holistic view of the needs and outcomes. The integration will involve triangulation, where the results from the quantitative data will be compared and validated with the qualitative insights</w:t>
      </w:r>
      <w:r>
        <w:rPr>
          <w:rFonts w:ascii="Arial" w:hAnsi="Arial" w:cs="Arial"/>
        </w:rPr>
        <w:t xml:space="preserve"> and secondary data</w:t>
      </w:r>
      <w:r w:rsidRPr="00155B14">
        <w:rPr>
          <w:rFonts w:ascii="Arial" w:hAnsi="Arial" w:cs="Arial"/>
        </w:rPr>
        <w:t>. This will ensure the findings are comprehensive, reliable, and contextually grounded.</w:t>
      </w:r>
    </w:p>
    <w:p w14:paraId="0084EC86" w14:textId="4E70A655" w:rsidR="00256F92" w:rsidRPr="00256F92" w:rsidRDefault="00256F92" w:rsidP="00256F92">
      <w:pPr>
        <w:spacing w:line="276" w:lineRule="auto"/>
        <w:jc w:val="both"/>
        <w:rPr>
          <w:rFonts w:ascii="Arial" w:hAnsi="Arial" w:cs="Arial"/>
        </w:rPr>
      </w:pPr>
      <w:r w:rsidRPr="00256F92">
        <w:rPr>
          <w:rFonts w:ascii="Arial" w:hAnsi="Arial" w:cs="Arial"/>
        </w:rPr>
        <w:t xml:space="preserve">The data analyzed </w:t>
      </w:r>
      <w:r>
        <w:rPr>
          <w:rFonts w:ascii="Arial" w:hAnsi="Arial" w:cs="Arial"/>
        </w:rPr>
        <w:t>should</w:t>
      </w:r>
      <w:r w:rsidRPr="00256F92">
        <w:rPr>
          <w:rFonts w:ascii="Arial" w:hAnsi="Arial" w:cs="Arial"/>
        </w:rPr>
        <w:t xml:space="preserve"> be synthesized into a comprehensive report covering</w:t>
      </w:r>
      <w:r>
        <w:rPr>
          <w:rFonts w:ascii="Arial" w:hAnsi="Arial" w:cs="Arial"/>
        </w:rPr>
        <w:t xml:space="preserve"> at least</w:t>
      </w:r>
      <w:r w:rsidRPr="00256F92">
        <w:rPr>
          <w:rFonts w:ascii="Arial" w:hAnsi="Arial" w:cs="Arial"/>
        </w:rPr>
        <w:t xml:space="preserve"> the following sections:</w:t>
      </w:r>
    </w:p>
    <w:p w14:paraId="693F7AE0" w14:textId="77777777" w:rsidR="002634C8" w:rsidRPr="002634C8" w:rsidRDefault="002634C8" w:rsidP="00DB0188">
      <w:pPr>
        <w:pStyle w:val="ListParagraph"/>
        <w:numPr>
          <w:ilvl w:val="0"/>
          <w:numId w:val="7"/>
        </w:numPr>
        <w:rPr>
          <w:rFonts w:asciiTheme="minorBidi" w:hAnsiTheme="minorBidi"/>
        </w:rPr>
      </w:pPr>
      <w:r w:rsidRPr="002634C8">
        <w:rPr>
          <w:rFonts w:asciiTheme="minorBidi" w:hAnsiTheme="minorBidi"/>
        </w:rPr>
        <w:t>Introduction </w:t>
      </w:r>
    </w:p>
    <w:p w14:paraId="4359C9CD" w14:textId="77777777" w:rsidR="002634C8" w:rsidRPr="002634C8" w:rsidRDefault="002634C8" w:rsidP="00DB0188">
      <w:pPr>
        <w:pStyle w:val="ListParagraph"/>
        <w:numPr>
          <w:ilvl w:val="0"/>
          <w:numId w:val="7"/>
        </w:numPr>
        <w:rPr>
          <w:rFonts w:asciiTheme="minorBidi" w:hAnsiTheme="minorBidi"/>
        </w:rPr>
      </w:pPr>
      <w:r w:rsidRPr="002634C8">
        <w:rPr>
          <w:rFonts w:asciiTheme="minorBidi" w:hAnsiTheme="minorBidi"/>
        </w:rPr>
        <w:t>Purpose of assessment, timeframe, thematic areas covered, target area, and key population groups included in the study. </w:t>
      </w:r>
    </w:p>
    <w:p w14:paraId="669FA2EC" w14:textId="77777777" w:rsidR="002634C8" w:rsidRPr="002634C8" w:rsidRDefault="002634C8" w:rsidP="00DB0188">
      <w:pPr>
        <w:pStyle w:val="ListParagraph"/>
        <w:numPr>
          <w:ilvl w:val="0"/>
          <w:numId w:val="7"/>
        </w:numPr>
        <w:rPr>
          <w:rFonts w:asciiTheme="minorBidi" w:hAnsiTheme="minorBidi"/>
        </w:rPr>
      </w:pPr>
      <w:r w:rsidRPr="002634C8">
        <w:rPr>
          <w:rFonts w:asciiTheme="minorBidi" w:hAnsiTheme="minorBidi"/>
        </w:rPr>
        <w:t>Humanitarian context of the locations targeted </w:t>
      </w:r>
    </w:p>
    <w:p w14:paraId="153A35B1" w14:textId="33B99F50" w:rsidR="002634C8" w:rsidRPr="002634C8" w:rsidRDefault="002634C8" w:rsidP="00DB0188">
      <w:pPr>
        <w:pStyle w:val="ListParagraph"/>
        <w:numPr>
          <w:ilvl w:val="0"/>
          <w:numId w:val="7"/>
        </w:numPr>
        <w:rPr>
          <w:rFonts w:asciiTheme="minorBidi" w:hAnsiTheme="minorBidi"/>
        </w:rPr>
      </w:pPr>
      <w:r w:rsidRPr="3500B910">
        <w:rPr>
          <w:rFonts w:asciiTheme="minorBidi" w:hAnsiTheme="minorBidi"/>
        </w:rPr>
        <w:t xml:space="preserve">The methodology and sampling approach employed in the study </w:t>
      </w:r>
    </w:p>
    <w:p w14:paraId="752A87BC" w14:textId="06F5083A" w:rsidR="002634C8" w:rsidRPr="002634C8" w:rsidRDefault="002634C8" w:rsidP="00DB0188">
      <w:pPr>
        <w:pStyle w:val="ListParagraph"/>
        <w:numPr>
          <w:ilvl w:val="0"/>
          <w:numId w:val="7"/>
        </w:numPr>
        <w:rPr>
          <w:rFonts w:asciiTheme="minorBidi" w:hAnsiTheme="minorBidi"/>
        </w:rPr>
      </w:pPr>
      <w:r w:rsidRPr="3500B910">
        <w:rPr>
          <w:rFonts w:asciiTheme="minorBidi" w:hAnsiTheme="minorBidi"/>
        </w:rPr>
        <w:t>Submission of the values of outcome indicators disaggregated according to location</w:t>
      </w:r>
      <w:r w:rsidR="1D9897C0" w:rsidRPr="3500B910">
        <w:rPr>
          <w:rFonts w:asciiTheme="minorBidi" w:hAnsiTheme="minorBidi"/>
        </w:rPr>
        <w:t>,</w:t>
      </w:r>
      <w:r w:rsidRPr="3500B910">
        <w:rPr>
          <w:rFonts w:asciiTheme="minorBidi" w:hAnsiTheme="minorBidi"/>
        </w:rPr>
        <w:t xml:space="preserve"> and</w:t>
      </w:r>
      <w:r w:rsidR="7886D017" w:rsidRPr="3500B910">
        <w:rPr>
          <w:rFonts w:asciiTheme="minorBidi" w:hAnsiTheme="minorBidi"/>
        </w:rPr>
        <w:t xml:space="preserve"> when possible,</w:t>
      </w:r>
      <w:r w:rsidRPr="3500B910">
        <w:rPr>
          <w:rFonts w:asciiTheme="minorBidi" w:hAnsiTheme="minorBidi"/>
        </w:rPr>
        <w:t xml:space="preserve"> gender  </w:t>
      </w:r>
    </w:p>
    <w:p w14:paraId="73FB46AE" w14:textId="77777777" w:rsidR="002634C8" w:rsidRPr="002634C8" w:rsidRDefault="002634C8" w:rsidP="00DB0188">
      <w:pPr>
        <w:pStyle w:val="ListParagraph"/>
        <w:numPr>
          <w:ilvl w:val="0"/>
          <w:numId w:val="7"/>
        </w:numPr>
        <w:rPr>
          <w:rFonts w:asciiTheme="minorBidi" w:hAnsiTheme="minorBidi"/>
        </w:rPr>
      </w:pPr>
      <w:r w:rsidRPr="002634C8">
        <w:rPr>
          <w:rFonts w:asciiTheme="minorBidi" w:hAnsiTheme="minorBidi"/>
        </w:rPr>
        <w:t>Presentation of findings based on the outcome structure/thematic areas (Health, Cash and Protection) </w:t>
      </w:r>
    </w:p>
    <w:p w14:paraId="4075D0E6" w14:textId="77777777" w:rsidR="002634C8" w:rsidRDefault="002634C8" w:rsidP="00DB0188">
      <w:pPr>
        <w:pStyle w:val="ListParagraph"/>
        <w:numPr>
          <w:ilvl w:val="1"/>
          <w:numId w:val="5"/>
        </w:numPr>
        <w:rPr>
          <w:rFonts w:asciiTheme="minorBidi" w:hAnsiTheme="minorBidi"/>
        </w:rPr>
      </w:pPr>
      <w:r w:rsidRPr="002634C8">
        <w:rPr>
          <w:rFonts w:asciiTheme="minorBidi" w:hAnsiTheme="minorBidi"/>
        </w:rPr>
        <w:t>Key trends and variations across different locations and community groups should be submitted to enable comparative analysis. </w:t>
      </w:r>
    </w:p>
    <w:p w14:paraId="10872C84" w14:textId="027F733B" w:rsidR="002634C8" w:rsidRPr="002634C8" w:rsidRDefault="002634C8" w:rsidP="00DB0188">
      <w:pPr>
        <w:pStyle w:val="ListParagraph"/>
        <w:numPr>
          <w:ilvl w:val="1"/>
          <w:numId w:val="5"/>
        </w:numPr>
        <w:rPr>
          <w:rFonts w:asciiTheme="minorBidi" w:hAnsiTheme="minorBidi"/>
        </w:rPr>
      </w:pPr>
      <w:r w:rsidRPr="22C2464A">
        <w:rPr>
          <w:rFonts w:asciiTheme="minorBidi" w:hAnsiTheme="minorBidi"/>
        </w:rPr>
        <w:t>Where disaggregation is possible, trends and figures should be provided by gender and age groups. </w:t>
      </w:r>
    </w:p>
    <w:p w14:paraId="694BD0B3" w14:textId="77777777" w:rsidR="002634C8" w:rsidRPr="002634C8" w:rsidRDefault="002634C8" w:rsidP="00DB0188">
      <w:pPr>
        <w:pStyle w:val="ListParagraph"/>
        <w:numPr>
          <w:ilvl w:val="0"/>
          <w:numId w:val="7"/>
        </w:numPr>
        <w:rPr>
          <w:rFonts w:asciiTheme="minorBidi" w:hAnsiTheme="minorBidi"/>
        </w:rPr>
      </w:pPr>
      <w:r w:rsidRPr="002634C8">
        <w:rPr>
          <w:rFonts w:asciiTheme="minorBidi" w:hAnsiTheme="minorBidi"/>
        </w:rPr>
        <w:t>Recommendations and Next Steps </w:t>
      </w:r>
    </w:p>
    <w:p w14:paraId="6F3C3663" w14:textId="47859418" w:rsidR="00155B14" w:rsidRDefault="002634C8" w:rsidP="57E34560">
      <w:pPr>
        <w:pStyle w:val="ListParagraph"/>
        <w:numPr>
          <w:ilvl w:val="1"/>
          <w:numId w:val="5"/>
        </w:numPr>
        <w:spacing w:line="276" w:lineRule="auto"/>
        <w:rPr>
          <w:rFonts w:asciiTheme="minorBidi" w:hAnsiTheme="minorBidi"/>
        </w:rPr>
      </w:pPr>
      <w:r w:rsidRPr="57E34560">
        <w:rPr>
          <w:rFonts w:asciiTheme="minorBidi" w:hAnsiTheme="minorBidi"/>
        </w:rPr>
        <w:t>Evidence-based recommendations should be provided, including potential actions for programmatic adjustments</w:t>
      </w:r>
      <w:r w:rsidR="5F69248D" w:rsidRPr="57E34560">
        <w:rPr>
          <w:rFonts w:asciiTheme="minorBidi" w:hAnsiTheme="minorBidi"/>
        </w:rPr>
        <w:t xml:space="preserve"> per location, community group and gender</w:t>
      </w:r>
      <w:r w:rsidRPr="57E34560">
        <w:rPr>
          <w:rFonts w:asciiTheme="minorBidi" w:hAnsiTheme="minorBidi"/>
        </w:rPr>
        <w:t>.  </w:t>
      </w:r>
    </w:p>
    <w:p w14:paraId="1311D06D" w14:textId="53BBB02A" w:rsidR="002634C8" w:rsidRPr="002634C8" w:rsidRDefault="004444E8" w:rsidP="722CA643">
      <w:pPr>
        <w:pStyle w:val="Heading2"/>
        <w:rPr>
          <w:rFonts w:ascii="Arial" w:hAnsi="Arial" w:cs="Arial"/>
        </w:rPr>
      </w:pPr>
      <w:r w:rsidRPr="722CA643">
        <w:rPr>
          <w:rFonts w:ascii="Arial" w:hAnsi="Arial" w:cs="Arial"/>
        </w:rPr>
        <w:t xml:space="preserve">Data Collection Tools and Samples </w:t>
      </w:r>
    </w:p>
    <w:p w14:paraId="153FC7BC" w14:textId="1E74D6C4" w:rsidR="002634C8" w:rsidRPr="002634C8" w:rsidRDefault="002634C8" w:rsidP="14A4B841">
      <w:pPr>
        <w:spacing w:line="276" w:lineRule="auto"/>
        <w:jc w:val="both"/>
        <w:rPr>
          <w:rFonts w:asciiTheme="minorBidi" w:hAnsiTheme="minorBidi"/>
        </w:rPr>
      </w:pPr>
      <w:r w:rsidRPr="02BB79BF">
        <w:rPr>
          <w:rFonts w:asciiTheme="minorBidi" w:hAnsiTheme="minorBidi"/>
        </w:rPr>
        <w:t xml:space="preserve">In each location, the assessment will include one survey, three key informant interviews (KIIs), and two focus group discussions grouped per gender (FGD). These tools will cover all relevant thematic areas, providing necessary data for both </w:t>
      </w:r>
      <w:proofErr w:type="gramStart"/>
      <w:r w:rsidRPr="02BB79BF">
        <w:rPr>
          <w:rFonts w:asciiTheme="minorBidi" w:hAnsiTheme="minorBidi"/>
        </w:rPr>
        <w:t>the</w:t>
      </w:r>
      <w:proofErr w:type="gramEnd"/>
      <w:r w:rsidRPr="02BB79BF">
        <w:rPr>
          <w:rFonts w:asciiTheme="minorBidi" w:hAnsiTheme="minorBidi"/>
        </w:rPr>
        <w:t xml:space="preserve"> needs assessment and outcome monitoring to support informed decision-making. Tools provided by </w:t>
      </w:r>
      <w:proofErr w:type="spellStart"/>
      <w:r w:rsidR="00F94B79" w:rsidRPr="02BB79BF">
        <w:rPr>
          <w:rFonts w:asciiTheme="minorBidi" w:hAnsiTheme="minorBidi"/>
        </w:rPr>
        <w:t>NoRC</w:t>
      </w:r>
      <w:proofErr w:type="spellEnd"/>
      <w:r w:rsidRPr="02BB79BF">
        <w:rPr>
          <w:rFonts w:asciiTheme="minorBidi" w:hAnsiTheme="minorBidi"/>
        </w:rPr>
        <w:t xml:space="preserve"> can be </w:t>
      </w:r>
      <w:r w:rsidR="410BFFE0" w:rsidRPr="02BB79BF">
        <w:rPr>
          <w:rFonts w:asciiTheme="minorBidi" w:hAnsiTheme="minorBidi"/>
        </w:rPr>
        <w:t xml:space="preserve">expanded </w:t>
      </w:r>
      <w:r w:rsidRPr="02BB79BF">
        <w:rPr>
          <w:rFonts w:asciiTheme="minorBidi" w:hAnsiTheme="minorBidi"/>
        </w:rPr>
        <w:t xml:space="preserve">by consultants to </w:t>
      </w:r>
      <w:r w:rsidR="1C10FB49" w:rsidRPr="02BB79BF">
        <w:rPr>
          <w:rFonts w:asciiTheme="minorBidi" w:hAnsiTheme="minorBidi"/>
        </w:rPr>
        <w:t xml:space="preserve">further investigate and analyze </w:t>
      </w:r>
      <w:r w:rsidRPr="02BB79BF">
        <w:rPr>
          <w:rFonts w:asciiTheme="minorBidi" w:hAnsiTheme="minorBidi"/>
        </w:rPr>
        <w:t xml:space="preserve">the context. </w:t>
      </w:r>
      <w:r w:rsidR="459A528B" w:rsidRPr="02BB79BF">
        <w:rPr>
          <w:rFonts w:ascii="Arial" w:eastAsia="Arial" w:hAnsi="Arial" w:cs="Arial"/>
        </w:rPr>
        <w:t xml:space="preserve">Noting that some locations, primarily Zalingei and Nyala, are inaccessible, the assessment will be conducted online in close coordination with SRCS branches to ensure accurate data collection. </w:t>
      </w:r>
    </w:p>
    <w:p w14:paraId="5BCAAEA6" w14:textId="21899DCB" w:rsidR="002634C8" w:rsidRPr="002634C8" w:rsidRDefault="002634C8" w:rsidP="002634C8">
      <w:pPr>
        <w:spacing w:line="276" w:lineRule="auto"/>
        <w:jc w:val="both"/>
        <w:rPr>
          <w:rFonts w:asciiTheme="minorBidi" w:hAnsiTheme="minorBidi"/>
          <w:u w:val="single"/>
        </w:rPr>
      </w:pPr>
      <w:r w:rsidRPr="002634C8">
        <w:rPr>
          <w:rFonts w:asciiTheme="minorBidi" w:hAnsiTheme="minorBidi"/>
          <w:u w:val="single"/>
        </w:rPr>
        <w:t>Survey </w:t>
      </w:r>
      <w:r>
        <w:rPr>
          <w:rFonts w:asciiTheme="minorBidi" w:hAnsiTheme="minorBidi"/>
          <w:u w:val="single"/>
        </w:rPr>
        <w:t xml:space="preserve">with </w:t>
      </w:r>
      <w:r w:rsidRPr="002634C8">
        <w:rPr>
          <w:rFonts w:asciiTheme="minorBidi" w:hAnsiTheme="minorBidi"/>
          <w:u w:val="single"/>
        </w:rPr>
        <w:t xml:space="preserve">Community </w:t>
      </w:r>
      <w:r>
        <w:rPr>
          <w:rFonts w:asciiTheme="minorBidi" w:hAnsiTheme="minorBidi"/>
          <w:u w:val="single"/>
        </w:rPr>
        <w:t>Members</w:t>
      </w:r>
    </w:p>
    <w:p w14:paraId="099B0008" w14:textId="23DD3207" w:rsidR="002634C8" w:rsidRPr="002634C8" w:rsidRDefault="002634C8" w:rsidP="2CA94218">
      <w:pPr>
        <w:pStyle w:val="ListParagraph"/>
        <w:numPr>
          <w:ilvl w:val="0"/>
          <w:numId w:val="5"/>
        </w:numPr>
        <w:jc w:val="both"/>
        <w:rPr>
          <w:rFonts w:asciiTheme="minorBidi" w:hAnsiTheme="minorBidi"/>
        </w:rPr>
      </w:pPr>
      <w:r w:rsidRPr="2CA94218">
        <w:rPr>
          <w:rFonts w:asciiTheme="minorBidi" w:hAnsiTheme="minorBidi"/>
        </w:rPr>
        <w:lastRenderedPageBreak/>
        <w:t xml:space="preserve">Each location should include a </w:t>
      </w:r>
      <w:r w:rsidR="0824B4C9" w:rsidRPr="2CA94218">
        <w:rPr>
          <w:rFonts w:asciiTheme="minorBidi" w:hAnsiTheme="minorBidi"/>
        </w:rPr>
        <w:t xml:space="preserve">minimum </w:t>
      </w:r>
      <w:r w:rsidRPr="2CA94218">
        <w:rPr>
          <w:rFonts w:asciiTheme="minorBidi" w:hAnsiTheme="minorBidi"/>
        </w:rPr>
        <w:t>sample of 200 community members</w:t>
      </w:r>
      <w:r w:rsidR="007050F6" w:rsidRPr="2CA94218">
        <w:rPr>
          <w:rFonts w:asciiTheme="minorBidi" w:hAnsiTheme="minorBidi"/>
        </w:rPr>
        <w:t xml:space="preserve">. </w:t>
      </w:r>
    </w:p>
    <w:p w14:paraId="1A5CF1B3" w14:textId="4552E0C7" w:rsidR="002634C8" w:rsidRDefault="002634C8" w:rsidP="2CA94218">
      <w:pPr>
        <w:pStyle w:val="ListParagraph"/>
        <w:numPr>
          <w:ilvl w:val="0"/>
          <w:numId w:val="5"/>
        </w:numPr>
        <w:jc w:val="both"/>
        <w:rPr>
          <w:rFonts w:asciiTheme="minorBidi" w:hAnsiTheme="minorBidi"/>
        </w:rPr>
      </w:pPr>
      <w:r w:rsidRPr="2CA94218">
        <w:rPr>
          <w:rFonts w:asciiTheme="minorBidi" w:hAnsiTheme="minorBidi"/>
        </w:rPr>
        <w:t>All other participants should be selected randomly to ensure the sample represents the broader community rather than focusing solely on program beneficiaries. It is also essential to achieve a diverse representation in terms of age, gender, and geographical locations to capture the input of different community groups. This will help ensure that the data reflects the diverse perspectives and needs within the affected population. </w:t>
      </w:r>
    </w:p>
    <w:p w14:paraId="2A6EA309" w14:textId="09CCE4E6" w:rsidR="00FE1BCF" w:rsidRPr="00FE1BCF" w:rsidRDefault="008C67DC" w:rsidP="2CA94218">
      <w:pPr>
        <w:pStyle w:val="ListParagraph"/>
        <w:numPr>
          <w:ilvl w:val="0"/>
          <w:numId w:val="5"/>
        </w:numPr>
        <w:jc w:val="both"/>
        <w:rPr>
          <w:rFonts w:asciiTheme="minorBidi" w:hAnsiTheme="minorBidi"/>
        </w:rPr>
      </w:pPr>
      <w:r w:rsidRPr="2CA94218">
        <w:rPr>
          <w:rFonts w:asciiTheme="minorBidi" w:hAnsiTheme="minorBidi"/>
        </w:rPr>
        <w:t xml:space="preserve">It is worth </w:t>
      </w:r>
      <w:proofErr w:type="gramStart"/>
      <w:r w:rsidRPr="2CA94218">
        <w:rPr>
          <w:rFonts w:asciiTheme="minorBidi" w:hAnsiTheme="minorBidi"/>
        </w:rPr>
        <w:t>to mention</w:t>
      </w:r>
      <w:proofErr w:type="gramEnd"/>
      <w:r w:rsidRPr="2CA94218">
        <w:rPr>
          <w:rFonts w:asciiTheme="minorBidi" w:hAnsiTheme="minorBidi"/>
        </w:rPr>
        <w:t xml:space="preserve"> that the SRCS volunteers are the ones responsible for the Kobo data collection while the consultant is responsible for training them, designing the questionnaires with </w:t>
      </w:r>
      <w:proofErr w:type="spellStart"/>
      <w:r w:rsidRPr="2CA94218">
        <w:rPr>
          <w:rFonts w:asciiTheme="minorBidi" w:hAnsiTheme="minorBidi"/>
        </w:rPr>
        <w:t>NoRC</w:t>
      </w:r>
      <w:proofErr w:type="spellEnd"/>
      <w:r w:rsidRPr="2CA94218">
        <w:rPr>
          <w:rFonts w:asciiTheme="minorBidi" w:hAnsiTheme="minorBidi"/>
        </w:rPr>
        <w:t xml:space="preserve"> IM team</w:t>
      </w:r>
      <w:r w:rsidR="00FE1BCF" w:rsidRPr="2CA94218">
        <w:rPr>
          <w:rFonts w:asciiTheme="minorBidi" w:hAnsiTheme="minorBidi"/>
        </w:rPr>
        <w:t xml:space="preserve"> and</w:t>
      </w:r>
      <w:r w:rsidRPr="2CA94218">
        <w:rPr>
          <w:rFonts w:asciiTheme="minorBidi" w:hAnsiTheme="minorBidi"/>
        </w:rPr>
        <w:t xml:space="preserve"> testing</w:t>
      </w:r>
      <w:r w:rsidR="00FE1BCF" w:rsidRPr="2CA94218">
        <w:rPr>
          <w:rFonts w:asciiTheme="minorBidi" w:hAnsiTheme="minorBidi"/>
        </w:rPr>
        <w:t xml:space="preserve"> the questionnaires. </w:t>
      </w:r>
    </w:p>
    <w:p w14:paraId="3096404D" w14:textId="77777777" w:rsidR="002634C8" w:rsidRPr="002634C8" w:rsidRDefault="002634C8" w:rsidP="002634C8">
      <w:pPr>
        <w:pStyle w:val="ListParagraph"/>
        <w:rPr>
          <w:rFonts w:asciiTheme="minorBidi" w:hAnsiTheme="minorBidi"/>
        </w:rPr>
      </w:pPr>
    </w:p>
    <w:p w14:paraId="77823F4E" w14:textId="3BE43C1B" w:rsidR="002634C8" w:rsidRPr="002634C8" w:rsidRDefault="002634C8" w:rsidP="002634C8">
      <w:pPr>
        <w:tabs>
          <w:tab w:val="num" w:pos="720"/>
        </w:tabs>
        <w:spacing w:line="276" w:lineRule="auto"/>
        <w:jc w:val="both"/>
        <w:rPr>
          <w:rFonts w:asciiTheme="minorBidi" w:hAnsiTheme="minorBidi"/>
          <w:u w:val="single"/>
        </w:rPr>
      </w:pPr>
      <w:r w:rsidRPr="002634C8">
        <w:rPr>
          <w:rFonts w:asciiTheme="minorBidi" w:hAnsiTheme="minorBidi"/>
          <w:u w:val="single"/>
        </w:rPr>
        <w:t>Focus Group Discussions (FGDs) </w:t>
      </w:r>
      <w:r>
        <w:rPr>
          <w:rFonts w:asciiTheme="minorBidi" w:hAnsiTheme="minorBidi"/>
          <w:u w:val="single"/>
        </w:rPr>
        <w:t>with the Community Members</w:t>
      </w:r>
    </w:p>
    <w:p w14:paraId="5AC39A21" w14:textId="273F3263" w:rsidR="002634C8" w:rsidRPr="002634C8" w:rsidRDefault="00823311" w:rsidP="2CA94218">
      <w:pPr>
        <w:pStyle w:val="ListParagraph"/>
        <w:numPr>
          <w:ilvl w:val="0"/>
          <w:numId w:val="5"/>
        </w:numPr>
        <w:jc w:val="both"/>
        <w:rPr>
          <w:rFonts w:asciiTheme="minorBidi" w:hAnsiTheme="minorBidi"/>
        </w:rPr>
      </w:pPr>
      <w:r w:rsidRPr="2CA94218">
        <w:rPr>
          <w:rFonts w:asciiTheme="minorBidi" w:hAnsiTheme="minorBidi"/>
        </w:rPr>
        <w:t xml:space="preserve">Two </w:t>
      </w:r>
      <w:r w:rsidR="002634C8" w:rsidRPr="2CA94218">
        <w:rPr>
          <w:rFonts w:asciiTheme="minorBidi" w:hAnsiTheme="minorBidi"/>
        </w:rPr>
        <w:t>FGD should be conducted per location</w:t>
      </w:r>
      <w:r w:rsidRPr="2CA94218">
        <w:rPr>
          <w:rFonts w:asciiTheme="minorBidi" w:hAnsiTheme="minorBidi"/>
        </w:rPr>
        <w:t xml:space="preserve"> disaggregated per gender.</w:t>
      </w:r>
      <w:r w:rsidR="002634C8" w:rsidRPr="2CA94218">
        <w:rPr>
          <w:rFonts w:asciiTheme="minorBidi" w:hAnsiTheme="minorBidi"/>
        </w:rPr>
        <w:t xml:space="preserve"> This is particularly important for </w:t>
      </w:r>
      <w:r w:rsidR="7D3580B1" w:rsidRPr="2CA94218">
        <w:rPr>
          <w:rFonts w:asciiTheme="minorBidi" w:hAnsiTheme="minorBidi"/>
        </w:rPr>
        <w:t xml:space="preserve">topics </w:t>
      </w:r>
      <w:r w:rsidR="002634C8" w:rsidRPr="2CA94218">
        <w:rPr>
          <w:rFonts w:asciiTheme="minorBidi" w:hAnsiTheme="minorBidi"/>
        </w:rPr>
        <w:t>involving protection-related topics, as separate groups allow for more open discussions and a comprehensive understanding of different perspectives. </w:t>
      </w:r>
    </w:p>
    <w:p w14:paraId="2B7D8C7A" w14:textId="71030329" w:rsidR="002634C8" w:rsidRDefault="002634C8" w:rsidP="2CA94218">
      <w:pPr>
        <w:pStyle w:val="ListParagraph"/>
        <w:numPr>
          <w:ilvl w:val="0"/>
          <w:numId w:val="5"/>
        </w:numPr>
        <w:jc w:val="both"/>
        <w:rPr>
          <w:rFonts w:asciiTheme="minorBidi" w:hAnsiTheme="minorBidi"/>
        </w:rPr>
      </w:pPr>
      <w:r w:rsidRPr="2CA94218">
        <w:rPr>
          <w:rFonts w:asciiTheme="minorBidi" w:hAnsiTheme="minorBidi"/>
        </w:rPr>
        <w:t>Participants for FGDs should be selected randomly and should not be limited to actual program beneficiaries to ensure the findings reflect the broader community’s experiences. </w:t>
      </w:r>
    </w:p>
    <w:p w14:paraId="5BDA18D1" w14:textId="1CBAF961" w:rsidR="008F5FC4" w:rsidRDefault="008F5FC4" w:rsidP="2CA94218">
      <w:pPr>
        <w:pStyle w:val="ListParagraph"/>
        <w:numPr>
          <w:ilvl w:val="0"/>
          <w:numId w:val="5"/>
        </w:numPr>
        <w:jc w:val="both"/>
        <w:rPr>
          <w:rFonts w:asciiTheme="minorBidi" w:hAnsiTheme="minorBidi"/>
        </w:rPr>
      </w:pPr>
      <w:r w:rsidRPr="2CA94218">
        <w:rPr>
          <w:rFonts w:asciiTheme="minorBidi" w:hAnsiTheme="minorBidi"/>
        </w:rPr>
        <w:t xml:space="preserve">SRCS </w:t>
      </w:r>
      <w:r w:rsidR="006B7E42" w:rsidRPr="2CA94218">
        <w:rPr>
          <w:rFonts w:asciiTheme="minorBidi" w:hAnsiTheme="minorBidi"/>
        </w:rPr>
        <w:t xml:space="preserve">volunteers will </w:t>
      </w:r>
      <w:r w:rsidR="008C4E74" w:rsidRPr="2CA94218">
        <w:rPr>
          <w:rFonts w:asciiTheme="minorBidi" w:hAnsiTheme="minorBidi"/>
        </w:rPr>
        <w:t>facilitate</w:t>
      </w:r>
      <w:r w:rsidR="006B7E42" w:rsidRPr="2CA94218">
        <w:rPr>
          <w:rFonts w:asciiTheme="minorBidi" w:hAnsiTheme="minorBidi"/>
        </w:rPr>
        <w:t xml:space="preserve"> </w:t>
      </w:r>
      <w:r w:rsidR="7C64832A" w:rsidRPr="2CA94218">
        <w:rPr>
          <w:rFonts w:asciiTheme="minorBidi" w:hAnsiTheme="minorBidi"/>
        </w:rPr>
        <w:t>communication</w:t>
      </w:r>
      <w:r w:rsidR="006B7E42" w:rsidRPr="2CA94218">
        <w:rPr>
          <w:rFonts w:asciiTheme="minorBidi" w:hAnsiTheme="minorBidi"/>
        </w:rPr>
        <w:t xml:space="preserve"> </w:t>
      </w:r>
      <w:r w:rsidR="0029572F" w:rsidRPr="2CA94218">
        <w:rPr>
          <w:rFonts w:asciiTheme="minorBidi" w:hAnsiTheme="minorBidi"/>
        </w:rPr>
        <w:t xml:space="preserve">with the local community. </w:t>
      </w:r>
    </w:p>
    <w:p w14:paraId="5D6D96C7" w14:textId="77777777" w:rsidR="002634C8" w:rsidRPr="002634C8" w:rsidRDefault="002634C8" w:rsidP="002634C8">
      <w:pPr>
        <w:pStyle w:val="ListParagraph"/>
        <w:rPr>
          <w:rFonts w:asciiTheme="minorBidi" w:hAnsiTheme="minorBidi"/>
        </w:rPr>
      </w:pPr>
    </w:p>
    <w:p w14:paraId="0A82E908" w14:textId="77777777" w:rsidR="002634C8" w:rsidRPr="002634C8" w:rsidRDefault="002634C8" w:rsidP="002634C8">
      <w:pPr>
        <w:tabs>
          <w:tab w:val="num" w:pos="720"/>
        </w:tabs>
        <w:spacing w:line="276" w:lineRule="auto"/>
        <w:jc w:val="both"/>
        <w:rPr>
          <w:rFonts w:asciiTheme="minorBidi" w:hAnsiTheme="minorBidi"/>
          <w:u w:val="single"/>
        </w:rPr>
      </w:pPr>
      <w:r w:rsidRPr="002634C8">
        <w:rPr>
          <w:rFonts w:asciiTheme="minorBidi" w:hAnsiTheme="minorBidi"/>
          <w:u w:val="single"/>
        </w:rPr>
        <w:t>Key Informant Interviews (KIIs) </w:t>
      </w:r>
    </w:p>
    <w:p w14:paraId="5B32A109" w14:textId="7F8AF081" w:rsidR="002634C8" w:rsidRPr="002634C8" w:rsidRDefault="002634C8" w:rsidP="2CA94218">
      <w:pPr>
        <w:pStyle w:val="ListParagraph"/>
        <w:numPr>
          <w:ilvl w:val="0"/>
          <w:numId w:val="5"/>
        </w:numPr>
        <w:jc w:val="both"/>
        <w:rPr>
          <w:rFonts w:asciiTheme="minorBidi" w:hAnsiTheme="minorBidi"/>
        </w:rPr>
      </w:pPr>
      <w:r w:rsidRPr="2CA94218">
        <w:rPr>
          <w:rFonts w:asciiTheme="minorBidi" w:hAnsiTheme="minorBidi"/>
        </w:rPr>
        <w:t>Three KIIs should be conducted in each location with the following key stakeholders: 1) Head of the health facility; 2) A community leader; 3)</w:t>
      </w:r>
      <w:r w:rsidR="1D143E95" w:rsidRPr="2CA94218">
        <w:rPr>
          <w:rFonts w:asciiTheme="minorBidi" w:hAnsiTheme="minorBidi"/>
        </w:rPr>
        <w:t xml:space="preserve"> </w:t>
      </w:r>
      <w:r w:rsidRPr="2CA94218">
        <w:rPr>
          <w:rFonts w:asciiTheme="minorBidi" w:hAnsiTheme="minorBidi"/>
        </w:rPr>
        <w:t xml:space="preserve">A </w:t>
      </w:r>
      <w:proofErr w:type="gramStart"/>
      <w:r w:rsidRPr="2CA94218">
        <w:rPr>
          <w:rFonts w:asciiTheme="minorBidi" w:hAnsiTheme="minorBidi"/>
        </w:rPr>
        <w:t>national society</w:t>
      </w:r>
      <w:proofErr w:type="gramEnd"/>
      <w:r w:rsidRPr="2CA94218">
        <w:rPr>
          <w:rFonts w:asciiTheme="minorBidi" w:hAnsiTheme="minorBidi"/>
        </w:rPr>
        <w:t xml:space="preserve"> focal point on public health </w:t>
      </w:r>
      <w:r w:rsidR="00823311" w:rsidRPr="2CA94218">
        <w:rPr>
          <w:rFonts w:asciiTheme="minorBidi" w:hAnsiTheme="minorBidi"/>
        </w:rPr>
        <w:t xml:space="preserve">in the targeted location </w:t>
      </w:r>
      <w:r w:rsidRPr="2CA94218">
        <w:rPr>
          <w:rFonts w:asciiTheme="minorBidi" w:hAnsiTheme="minorBidi"/>
        </w:rPr>
        <w:t>(direct or indirect involvement) </w:t>
      </w:r>
    </w:p>
    <w:p w14:paraId="4058BAE6" w14:textId="5CBE7497" w:rsidR="002634C8" w:rsidRDefault="002634C8" w:rsidP="2CA94218">
      <w:pPr>
        <w:pStyle w:val="ListParagraph"/>
        <w:numPr>
          <w:ilvl w:val="0"/>
          <w:numId w:val="5"/>
        </w:numPr>
        <w:jc w:val="both"/>
        <w:rPr>
          <w:rFonts w:asciiTheme="minorBidi" w:hAnsiTheme="minorBidi"/>
        </w:rPr>
      </w:pPr>
      <w:r w:rsidRPr="2CA94218">
        <w:rPr>
          <w:rFonts w:asciiTheme="minorBidi" w:hAnsiTheme="minorBidi"/>
        </w:rPr>
        <w:t>These individuals are crucial for providing valuable insights into the dynamics observed in the community, facilities and community overall.  </w:t>
      </w:r>
    </w:p>
    <w:p w14:paraId="15D47F0B" w14:textId="7CFFEC8A" w:rsidR="004444E8" w:rsidRPr="00DE79D2" w:rsidRDefault="008C4E74" w:rsidP="2CA94218">
      <w:pPr>
        <w:pStyle w:val="ListParagraph"/>
        <w:numPr>
          <w:ilvl w:val="0"/>
          <w:numId w:val="5"/>
        </w:numPr>
        <w:spacing w:line="276" w:lineRule="auto"/>
        <w:jc w:val="both"/>
        <w:rPr>
          <w:rFonts w:asciiTheme="minorBidi" w:hAnsiTheme="minorBidi"/>
        </w:rPr>
      </w:pPr>
      <w:r w:rsidRPr="2CA94218">
        <w:rPr>
          <w:rFonts w:asciiTheme="minorBidi" w:hAnsiTheme="minorBidi"/>
        </w:rPr>
        <w:t xml:space="preserve">SRCS volunteers will facilitate </w:t>
      </w:r>
      <w:r w:rsidR="4B6F16A8" w:rsidRPr="2CA94218">
        <w:rPr>
          <w:rFonts w:asciiTheme="minorBidi" w:hAnsiTheme="minorBidi"/>
        </w:rPr>
        <w:t>communication</w:t>
      </w:r>
      <w:r w:rsidRPr="2CA94218">
        <w:rPr>
          <w:rFonts w:asciiTheme="minorBidi" w:hAnsiTheme="minorBidi"/>
        </w:rPr>
        <w:t xml:space="preserve"> with the interlocutors. </w:t>
      </w:r>
    </w:p>
    <w:p w14:paraId="5D8944C1" w14:textId="5AB36BB3" w:rsidR="004939C0" w:rsidRPr="00714496" w:rsidRDefault="00537940" w:rsidP="00537940">
      <w:pPr>
        <w:pStyle w:val="Heading2"/>
        <w:rPr>
          <w:rFonts w:ascii="Arial" w:hAnsi="Arial" w:cs="Arial"/>
        </w:rPr>
      </w:pPr>
      <w:r w:rsidRPr="00714496">
        <w:rPr>
          <w:rFonts w:ascii="Arial" w:hAnsi="Arial" w:cs="Arial"/>
        </w:rPr>
        <w:t>Deliverables:</w:t>
      </w:r>
    </w:p>
    <w:p w14:paraId="16154920" w14:textId="1EF6AF51" w:rsidR="00C10774" w:rsidRPr="00672650" w:rsidRDefault="004939C0" w:rsidP="00DB0188">
      <w:pPr>
        <w:pStyle w:val="ListParagraph"/>
        <w:numPr>
          <w:ilvl w:val="1"/>
          <w:numId w:val="2"/>
        </w:numPr>
        <w:spacing w:line="276" w:lineRule="auto"/>
        <w:jc w:val="both"/>
        <w:rPr>
          <w:rStyle w:val="cf01"/>
          <w:rFonts w:ascii="Arial" w:hAnsi="Arial" w:cs="Arial"/>
          <w:b/>
          <w:bCs/>
          <w:sz w:val="22"/>
          <w:szCs w:val="22"/>
        </w:rPr>
      </w:pPr>
      <w:r w:rsidRPr="00714496">
        <w:rPr>
          <w:rFonts w:ascii="Arial" w:hAnsi="Arial" w:cs="Arial"/>
          <w:b/>
          <w:bCs/>
        </w:rPr>
        <w:t xml:space="preserve">Inception report: </w:t>
      </w:r>
      <w:r w:rsidR="00C10774" w:rsidRPr="00672650">
        <w:rPr>
          <w:rStyle w:val="cf01"/>
          <w:rFonts w:ascii="Arial" w:eastAsiaTheme="majorEastAsia" w:hAnsi="Arial" w:cs="Arial"/>
          <w:sz w:val="22"/>
          <w:szCs w:val="22"/>
        </w:rPr>
        <w:t xml:space="preserve">An inception report with a detailed description of </w:t>
      </w:r>
      <w:r w:rsidR="00020CCC" w:rsidRPr="00672650">
        <w:rPr>
          <w:rStyle w:val="cf01"/>
          <w:rFonts w:ascii="Arial" w:eastAsiaTheme="majorEastAsia" w:hAnsi="Arial" w:cs="Arial"/>
          <w:sz w:val="22"/>
          <w:szCs w:val="22"/>
        </w:rPr>
        <w:t xml:space="preserve">the </w:t>
      </w:r>
      <w:r w:rsidR="00C10774" w:rsidRPr="00672650">
        <w:rPr>
          <w:rStyle w:val="cf01"/>
          <w:rFonts w:ascii="Arial" w:eastAsiaTheme="majorEastAsia" w:hAnsi="Arial" w:cs="Arial"/>
          <w:sz w:val="22"/>
          <w:szCs w:val="22"/>
        </w:rPr>
        <w:t xml:space="preserve">methodology to be used, a data collection plan, </w:t>
      </w:r>
      <w:r w:rsidR="00672650">
        <w:rPr>
          <w:rStyle w:val="cf01"/>
          <w:rFonts w:ascii="Arial" w:eastAsiaTheme="majorEastAsia" w:hAnsi="Arial" w:cs="Arial"/>
          <w:sz w:val="22"/>
          <w:szCs w:val="22"/>
        </w:rPr>
        <w:t xml:space="preserve">the tools to be applied, </w:t>
      </w:r>
      <w:r w:rsidR="00020CCC" w:rsidRPr="00672650">
        <w:rPr>
          <w:rStyle w:val="cf01"/>
          <w:rFonts w:ascii="Arial" w:eastAsiaTheme="majorEastAsia" w:hAnsi="Arial" w:cs="Arial"/>
          <w:sz w:val="22"/>
          <w:szCs w:val="22"/>
        </w:rPr>
        <w:t xml:space="preserve">an </w:t>
      </w:r>
      <w:r w:rsidR="00C10774" w:rsidRPr="00672650">
        <w:rPr>
          <w:rStyle w:val="cf01"/>
          <w:rFonts w:ascii="Arial" w:eastAsiaTheme="majorEastAsia" w:hAnsi="Arial" w:cs="Arial"/>
          <w:sz w:val="22"/>
          <w:szCs w:val="22"/>
        </w:rPr>
        <w:t xml:space="preserve">overview of information sources, a timeline for deliverables and solutions to identified </w:t>
      </w:r>
      <w:r w:rsidR="001E64E6" w:rsidRPr="00672650">
        <w:rPr>
          <w:rStyle w:val="cf01"/>
          <w:rFonts w:ascii="Arial" w:eastAsiaTheme="majorEastAsia" w:hAnsi="Arial" w:cs="Arial"/>
          <w:sz w:val="22"/>
          <w:szCs w:val="22"/>
        </w:rPr>
        <w:t>challenges.</w:t>
      </w:r>
    </w:p>
    <w:p w14:paraId="2362AE83" w14:textId="77777777" w:rsidR="00672650" w:rsidRPr="00672650" w:rsidRDefault="00672650" w:rsidP="00672650">
      <w:pPr>
        <w:pStyle w:val="ListParagraph"/>
        <w:spacing w:line="276" w:lineRule="auto"/>
        <w:jc w:val="both"/>
        <w:rPr>
          <w:rFonts w:ascii="Arial" w:hAnsi="Arial" w:cs="Arial"/>
          <w:b/>
          <w:bCs/>
        </w:rPr>
      </w:pPr>
    </w:p>
    <w:p w14:paraId="70D5EF3B" w14:textId="669B5A19" w:rsidR="004939C0" w:rsidRPr="00672650" w:rsidRDefault="004939C0" w:rsidP="00DB0188">
      <w:pPr>
        <w:pStyle w:val="ListParagraph"/>
        <w:numPr>
          <w:ilvl w:val="1"/>
          <w:numId w:val="2"/>
        </w:numPr>
        <w:spacing w:line="276" w:lineRule="auto"/>
        <w:jc w:val="both"/>
        <w:rPr>
          <w:rStyle w:val="cf01"/>
          <w:rFonts w:ascii="Arial" w:hAnsi="Arial" w:cs="Arial"/>
          <w:sz w:val="22"/>
          <w:szCs w:val="22"/>
        </w:rPr>
      </w:pPr>
      <w:r w:rsidRPr="00714496">
        <w:rPr>
          <w:rFonts w:ascii="Arial" w:hAnsi="Arial" w:cs="Arial"/>
          <w:b/>
          <w:bCs/>
        </w:rPr>
        <w:t xml:space="preserve"> </w:t>
      </w:r>
      <w:r w:rsidR="00050305" w:rsidRPr="00714496">
        <w:rPr>
          <w:rFonts w:ascii="Arial" w:hAnsi="Arial" w:cs="Arial"/>
          <w:b/>
          <w:bCs/>
        </w:rPr>
        <w:t>Debriefing</w:t>
      </w:r>
      <w:r w:rsidRPr="00714496">
        <w:rPr>
          <w:rFonts w:ascii="Arial" w:hAnsi="Arial" w:cs="Arial"/>
          <w:b/>
          <w:bCs/>
        </w:rPr>
        <w:t>:</w:t>
      </w:r>
      <w:r w:rsidRPr="00714496">
        <w:rPr>
          <w:rFonts w:ascii="Arial" w:hAnsi="Arial" w:cs="Arial"/>
        </w:rPr>
        <w:t xml:space="preserve"> </w:t>
      </w:r>
      <w:r w:rsidR="00537940" w:rsidRPr="00672650">
        <w:rPr>
          <w:rStyle w:val="cf01"/>
          <w:rFonts w:ascii="Arial" w:eastAsiaTheme="majorEastAsia" w:hAnsi="Arial" w:cs="Arial"/>
          <w:sz w:val="22"/>
          <w:szCs w:val="22"/>
        </w:rPr>
        <w:t>F</w:t>
      </w:r>
      <w:r w:rsidRPr="00672650">
        <w:rPr>
          <w:rStyle w:val="cf01"/>
          <w:rFonts w:ascii="Arial" w:eastAsiaTheme="majorEastAsia" w:hAnsi="Arial" w:cs="Arial"/>
          <w:sz w:val="22"/>
          <w:szCs w:val="22"/>
        </w:rPr>
        <w:t xml:space="preserve">ollowing the fieldwork phase, the preliminary results of the evaluation will be presented in the form of a </w:t>
      </w:r>
      <w:r w:rsidR="00537940" w:rsidRPr="00672650">
        <w:rPr>
          <w:rStyle w:val="cf01"/>
          <w:rFonts w:ascii="Arial" w:eastAsiaTheme="majorEastAsia" w:hAnsi="Arial" w:cs="Arial"/>
          <w:sz w:val="22"/>
          <w:szCs w:val="22"/>
        </w:rPr>
        <w:t>Word</w:t>
      </w:r>
      <w:r w:rsidRPr="00672650">
        <w:rPr>
          <w:rStyle w:val="cf01"/>
          <w:rFonts w:ascii="Arial" w:eastAsiaTheme="majorEastAsia" w:hAnsi="Arial" w:cs="Arial"/>
          <w:sz w:val="22"/>
          <w:szCs w:val="22"/>
        </w:rPr>
        <w:t xml:space="preserve"> document and a </w:t>
      </w:r>
      <w:r w:rsidR="00537940" w:rsidRPr="00672650">
        <w:rPr>
          <w:rStyle w:val="cf01"/>
          <w:rFonts w:ascii="Arial" w:eastAsiaTheme="majorEastAsia" w:hAnsi="Arial" w:cs="Arial"/>
          <w:sz w:val="22"/>
          <w:szCs w:val="22"/>
        </w:rPr>
        <w:t>PowerPoint</w:t>
      </w:r>
      <w:r w:rsidRPr="00672650">
        <w:rPr>
          <w:rStyle w:val="cf01"/>
          <w:rFonts w:ascii="Arial" w:eastAsiaTheme="majorEastAsia" w:hAnsi="Arial" w:cs="Arial"/>
          <w:sz w:val="22"/>
          <w:szCs w:val="22"/>
        </w:rPr>
        <w:t xml:space="preserve"> (or other type</w:t>
      </w:r>
      <w:r w:rsidR="00020CCC" w:rsidRPr="00672650">
        <w:rPr>
          <w:rStyle w:val="cf01"/>
          <w:rFonts w:ascii="Arial" w:eastAsiaTheme="majorEastAsia" w:hAnsi="Arial" w:cs="Arial"/>
          <w:sz w:val="22"/>
          <w:szCs w:val="22"/>
        </w:rPr>
        <w:t>s</w:t>
      </w:r>
      <w:r w:rsidRPr="00672650">
        <w:rPr>
          <w:rStyle w:val="cf01"/>
          <w:rFonts w:ascii="Arial" w:eastAsiaTheme="majorEastAsia" w:hAnsi="Arial" w:cs="Arial"/>
          <w:sz w:val="22"/>
          <w:szCs w:val="22"/>
        </w:rPr>
        <w:t xml:space="preserve"> of presentation) and shared </w:t>
      </w:r>
      <w:r w:rsidR="00537940" w:rsidRPr="00672650">
        <w:rPr>
          <w:rStyle w:val="cf01"/>
          <w:rFonts w:ascii="Arial" w:eastAsiaTheme="majorEastAsia" w:hAnsi="Arial" w:cs="Arial"/>
          <w:sz w:val="22"/>
          <w:szCs w:val="22"/>
        </w:rPr>
        <w:t>with</w:t>
      </w:r>
      <w:r w:rsidRPr="00672650">
        <w:rPr>
          <w:rStyle w:val="cf01"/>
          <w:rFonts w:ascii="Arial" w:eastAsiaTheme="majorEastAsia" w:hAnsi="Arial" w:cs="Arial"/>
          <w:sz w:val="22"/>
          <w:szCs w:val="22"/>
        </w:rPr>
        <w:t xml:space="preserve"> </w:t>
      </w:r>
      <w:r w:rsidR="0042735C" w:rsidRPr="00672650">
        <w:rPr>
          <w:rStyle w:val="cf01"/>
          <w:rFonts w:ascii="Arial" w:eastAsiaTheme="majorEastAsia" w:hAnsi="Arial" w:cs="Arial"/>
          <w:sz w:val="22"/>
          <w:szCs w:val="22"/>
        </w:rPr>
        <w:t xml:space="preserve">the </w:t>
      </w:r>
      <w:r w:rsidR="00EE4E0E">
        <w:rPr>
          <w:rFonts w:ascii="Arial" w:hAnsi="Arial" w:cs="Arial"/>
        </w:rPr>
        <w:t>SRCS</w:t>
      </w:r>
      <w:r w:rsidR="00672650">
        <w:rPr>
          <w:rFonts w:ascii="Arial" w:hAnsi="Arial" w:cs="Arial"/>
          <w:lang w:val="en-GB"/>
        </w:rPr>
        <w:t xml:space="preserve">, </w:t>
      </w:r>
      <w:proofErr w:type="spellStart"/>
      <w:r w:rsidR="00F94B79">
        <w:rPr>
          <w:rStyle w:val="cf01"/>
          <w:rFonts w:ascii="Arial" w:eastAsiaTheme="majorEastAsia" w:hAnsi="Arial" w:cs="Arial"/>
          <w:sz w:val="22"/>
          <w:szCs w:val="22"/>
        </w:rPr>
        <w:t>NoRC</w:t>
      </w:r>
      <w:proofErr w:type="spellEnd"/>
      <w:r w:rsidR="00672650">
        <w:rPr>
          <w:rStyle w:val="cf01"/>
          <w:rFonts w:ascii="Arial" w:eastAsiaTheme="majorEastAsia" w:hAnsi="Arial" w:cs="Arial"/>
          <w:sz w:val="22"/>
          <w:szCs w:val="22"/>
        </w:rPr>
        <w:t xml:space="preserve"> and other relevant </w:t>
      </w:r>
      <w:proofErr w:type="gramStart"/>
      <w:r w:rsidR="00672650">
        <w:rPr>
          <w:rStyle w:val="cf01"/>
          <w:rFonts w:ascii="Arial" w:eastAsiaTheme="majorEastAsia" w:hAnsi="Arial" w:cs="Arial"/>
          <w:sz w:val="22"/>
          <w:szCs w:val="22"/>
        </w:rPr>
        <w:t>stakeholder</w:t>
      </w:r>
      <w:proofErr w:type="gramEnd"/>
      <w:r w:rsidRPr="00672650">
        <w:rPr>
          <w:rStyle w:val="cf01"/>
          <w:rFonts w:ascii="Arial" w:eastAsiaTheme="majorEastAsia" w:hAnsi="Arial" w:cs="Arial"/>
          <w:sz w:val="22"/>
          <w:szCs w:val="22"/>
        </w:rPr>
        <w:t xml:space="preserve"> for presentation, discussion</w:t>
      </w:r>
      <w:r w:rsidR="00537940" w:rsidRPr="00672650">
        <w:rPr>
          <w:rStyle w:val="cf01"/>
          <w:rFonts w:ascii="Arial" w:eastAsiaTheme="majorEastAsia" w:hAnsi="Arial" w:cs="Arial"/>
          <w:sz w:val="22"/>
          <w:szCs w:val="22"/>
        </w:rPr>
        <w:t>,</w:t>
      </w:r>
      <w:r w:rsidRPr="00672650">
        <w:rPr>
          <w:rStyle w:val="cf01"/>
          <w:rFonts w:ascii="Arial" w:eastAsiaTheme="majorEastAsia" w:hAnsi="Arial" w:cs="Arial"/>
          <w:sz w:val="22"/>
          <w:szCs w:val="22"/>
        </w:rPr>
        <w:t xml:space="preserve"> and recommendation in preparation of the </w:t>
      </w:r>
      <w:r w:rsidR="0042735C" w:rsidRPr="00672650">
        <w:rPr>
          <w:rStyle w:val="cf01"/>
          <w:rFonts w:ascii="Arial" w:eastAsiaTheme="majorEastAsia" w:hAnsi="Arial" w:cs="Arial"/>
          <w:sz w:val="22"/>
          <w:szCs w:val="22"/>
        </w:rPr>
        <w:t xml:space="preserve">draft </w:t>
      </w:r>
      <w:r w:rsidRPr="00672650">
        <w:rPr>
          <w:rStyle w:val="cf01"/>
          <w:rFonts w:ascii="Arial" w:eastAsiaTheme="majorEastAsia" w:hAnsi="Arial" w:cs="Arial"/>
          <w:sz w:val="22"/>
          <w:szCs w:val="22"/>
        </w:rPr>
        <w:t>report.</w:t>
      </w:r>
    </w:p>
    <w:p w14:paraId="279F42C0" w14:textId="77777777" w:rsidR="00672650" w:rsidRPr="00672650" w:rsidRDefault="00672650" w:rsidP="00672650">
      <w:pPr>
        <w:pStyle w:val="ListParagraph"/>
        <w:rPr>
          <w:rStyle w:val="cf01"/>
          <w:rFonts w:ascii="Arial" w:hAnsi="Arial" w:cs="Arial"/>
          <w:sz w:val="22"/>
          <w:szCs w:val="22"/>
        </w:rPr>
      </w:pPr>
    </w:p>
    <w:p w14:paraId="07F39B73" w14:textId="77777777" w:rsidR="00672650" w:rsidRPr="00672650" w:rsidRDefault="00672650" w:rsidP="00672650">
      <w:pPr>
        <w:pStyle w:val="ListParagraph"/>
        <w:spacing w:line="276" w:lineRule="auto"/>
        <w:jc w:val="both"/>
        <w:rPr>
          <w:rStyle w:val="cf01"/>
          <w:rFonts w:ascii="Arial" w:hAnsi="Arial" w:cs="Arial"/>
          <w:sz w:val="22"/>
          <w:szCs w:val="22"/>
        </w:rPr>
      </w:pPr>
    </w:p>
    <w:p w14:paraId="08B234D4" w14:textId="6CF82F7E" w:rsidR="004939C0" w:rsidRPr="00672650" w:rsidRDefault="006B7176" w:rsidP="00DB0188">
      <w:pPr>
        <w:pStyle w:val="ListParagraph"/>
        <w:numPr>
          <w:ilvl w:val="1"/>
          <w:numId w:val="2"/>
        </w:numPr>
        <w:spacing w:line="276" w:lineRule="auto"/>
        <w:jc w:val="both"/>
        <w:rPr>
          <w:rFonts w:ascii="Arial" w:hAnsi="Arial" w:cs="Arial"/>
          <w:b/>
          <w:bCs/>
        </w:rPr>
      </w:pPr>
      <w:r w:rsidRPr="3078EBB2">
        <w:rPr>
          <w:rFonts w:ascii="Arial" w:hAnsi="Arial" w:cs="Arial"/>
          <w:b/>
          <w:bCs/>
        </w:rPr>
        <w:t>Draft and f</w:t>
      </w:r>
      <w:r w:rsidR="004939C0" w:rsidRPr="3078EBB2">
        <w:rPr>
          <w:rFonts w:ascii="Arial" w:hAnsi="Arial" w:cs="Arial"/>
          <w:b/>
          <w:bCs/>
        </w:rPr>
        <w:t>inal report:</w:t>
      </w:r>
      <w:r w:rsidR="004939C0" w:rsidRPr="3078EBB2">
        <w:rPr>
          <w:rFonts w:ascii="Arial" w:hAnsi="Arial" w:cs="Arial"/>
        </w:rPr>
        <w:t xml:space="preserve"> A </w:t>
      </w:r>
      <w:r w:rsidR="0A46B72A" w:rsidRPr="3078EBB2">
        <w:rPr>
          <w:rFonts w:ascii="Arial" w:hAnsi="Arial" w:cs="Arial"/>
        </w:rPr>
        <w:t>provisional</w:t>
      </w:r>
      <w:r w:rsidR="004939C0" w:rsidRPr="3078EBB2">
        <w:rPr>
          <w:rFonts w:ascii="Arial" w:hAnsi="Arial" w:cs="Arial"/>
        </w:rPr>
        <w:t xml:space="preserve"> final report will be produced and </w:t>
      </w:r>
      <w:r w:rsidR="00537940" w:rsidRPr="3078EBB2">
        <w:rPr>
          <w:rFonts w:ascii="Arial" w:hAnsi="Arial" w:cs="Arial"/>
        </w:rPr>
        <w:t>shared</w:t>
      </w:r>
      <w:r w:rsidR="004939C0" w:rsidRPr="3078EBB2">
        <w:rPr>
          <w:rFonts w:ascii="Arial" w:hAnsi="Arial" w:cs="Arial"/>
        </w:rPr>
        <w:t xml:space="preserve"> with the steering </w:t>
      </w:r>
      <w:r w:rsidR="00537940" w:rsidRPr="3078EBB2">
        <w:rPr>
          <w:rFonts w:ascii="Arial" w:hAnsi="Arial" w:cs="Arial"/>
        </w:rPr>
        <w:t>committee</w:t>
      </w:r>
      <w:r w:rsidR="004939C0" w:rsidRPr="3078EBB2">
        <w:rPr>
          <w:rFonts w:ascii="Arial" w:hAnsi="Arial" w:cs="Arial"/>
        </w:rPr>
        <w:t xml:space="preserve">/team for review and feedback. The definitive final report should </w:t>
      </w:r>
      <w:r w:rsidRPr="3078EBB2">
        <w:rPr>
          <w:rFonts w:ascii="Arial" w:hAnsi="Arial" w:cs="Arial"/>
        </w:rPr>
        <w:t>consider</w:t>
      </w:r>
      <w:r w:rsidR="0091477D" w:rsidRPr="3078EBB2">
        <w:rPr>
          <w:rFonts w:ascii="Arial" w:hAnsi="Arial" w:cs="Arial"/>
        </w:rPr>
        <w:t xml:space="preserve"> </w:t>
      </w:r>
      <w:r w:rsidR="004939C0" w:rsidRPr="3078EBB2">
        <w:rPr>
          <w:rFonts w:ascii="Arial" w:hAnsi="Arial" w:cs="Arial"/>
        </w:rPr>
        <w:t xml:space="preserve">these comments, </w:t>
      </w:r>
      <w:r w:rsidR="00537940" w:rsidRPr="3078EBB2">
        <w:rPr>
          <w:rFonts w:ascii="Arial" w:hAnsi="Arial" w:cs="Arial"/>
        </w:rPr>
        <w:t>feedback,</w:t>
      </w:r>
      <w:r w:rsidR="004939C0" w:rsidRPr="3078EBB2">
        <w:rPr>
          <w:rFonts w:ascii="Arial" w:hAnsi="Arial" w:cs="Arial"/>
        </w:rPr>
        <w:t xml:space="preserve"> and discussion. Several versions of the final report may be exchanged between the consultant and steering committee, as well as various exchanges and discussions may take place before </w:t>
      </w:r>
      <w:r w:rsidR="00537940" w:rsidRPr="3078EBB2">
        <w:rPr>
          <w:rFonts w:ascii="Arial" w:hAnsi="Arial" w:cs="Arial"/>
        </w:rPr>
        <w:t xml:space="preserve">the </w:t>
      </w:r>
      <w:r w:rsidR="004939C0" w:rsidRPr="3078EBB2">
        <w:rPr>
          <w:rFonts w:ascii="Arial" w:hAnsi="Arial" w:cs="Arial"/>
        </w:rPr>
        <w:t xml:space="preserve">validation of the definitive final report by </w:t>
      </w:r>
      <w:proofErr w:type="spellStart"/>
      <w:r w:rsidR="00F94B79">
        <w:rPr>
          <w:rFonts w:ascii="Arial" w:hAnsi="Arial" w:cs="Arial"/>
        </w:rPr>
        <w:t>NoRC</w:t>
      </w:r>
      <w:proofErr w:type="spellEnd"/>
      <w:r w:rsidR="00537940" w:rsidRPr="3078EBB2">
        <w:rPr>
          <w:rFonts w:ascii="Arial" w:hAnsi="Arial" w:cs="Arial"/>
        </w:rPr>
        <w:t>.</w:t>
      </w:r>
    </w:p>
    <w:p w14:paraId="7382B7DC" w14:textId="77777777" w:rsidR="00672650" w:rsidRDefault="00672650" w:rsidP="00672650">
      <w:pPr>
        <w:pStyle w:val="ListParagraph"/>
        <w:spacing w:line="276" w:lineRule="auto"/>
        <w:jc w:val="both"/>
        <w:rPr>
          <w:rFonts w:ascii="Arial" w:hAnsi="Arial" w:cs="Arial"/>
          <w:b/>
          <w:bCs/>
        </w:rPr>
      </w:pPr>
    </w:p>
    <w:p w14:paraId="414EC424" w14:textId="467DC971" w:rsidR="00672650" w:rsidRPr="00672650" w:rsidRDefault="00537940" w:rsidP="00DB0188">
      <w:pPr>
        <w:pStyle w:val="ListParagraph"/>
        <w:numPr>
          <w:ilvl w:val="1"/>
          <w:numId w:val="2"/>
        </w:numPr>
        <w:spacing w:line="276" w:lineRule="auto"/>
        <w:jc w:val="both"/>
        <w:rPr>
          <w:rFonts w:ascii="Arial" w:hAnsi="Arial" w:cs="Arial"/>
          <w:b/>
          <w:bCs/>
        </w:rPr>
      </w:pPr>
      <w:r w:rsidRPr="00714496">
        <w:rPr>
          <w:rFonts w:ascii="Arial" w:hAnsi="Arial" w:cs="Arial"/>
          <w:b/>
          <w:bCs/>
        </w:rPr>
        <w:t>Abridged version:</w:t>
      </w:r>
      <w:r w:rsidR="00672650">
        <w:rPr>
          <w:rFonts w:ascii="Arial" w:hAnsi="Arial" w:cs="Arial"/>
          <w:b/>
          <w:bCs/>
        </w:rPr>
        <w:t xml:space="preserve"> </w:t>
      </w:r>
      <w:r w:rsidRPr="00672650">
        <w:rPr>
          <w:rFonts w:ascii="Arial" w:hAnsi="Arial" w:cs="Arial"/>
        </w:rPr>
        <w:t>An abridged</w:t>
      </w:r>
      <w:r w:rsidR="004939C0" w:rsidRPr="00672650">
        <w:rPr>
          <w:rFonts w:ascii="Arial" w:hAnsi="Arial" w:cs="Arial"/>
        </w:rPr>
        <w:t xml:space="preserve"> version of the report for distribution to </w:t>
      </w:r>
      <w:r w:rsidRPr="00672650">
        <w:rPr>
          <w:rFonts w:ascii="Arial" w:hAnsi="Arial" w:cs="Arial"/>
        </w:rPr>
        <w:t>stakeholders</w:t>
      </w:r>
      <w:r w:rsidR="004939C0" w:rsidRPr="00672650">
        <w:rPr>
          <w:rFonts w:ascii="Arial" w:hAnsi="Arial" w:cs="Arial"/>
        </w:rPr>
        <w:t>: this will present a summary of the evaluation context, findings</w:t>
      </w:r>
      <w:r w:rsidRPr="00672650">
        <w:rPr>
          <w:rFonts w:ascii="Arial" w:hAnsi="Arial" w:cs="Arial"/>
        </w:rPr>
        <w:t>,</w:t>
      </w:r>
      <w:r w:rsidR="004939C0" w:rsidRPr="00672650">
        <w:rPr>
          <w:rFonts w:ascii="Arial" w:hAnsi="Arial" w:cs="Arial"/>
        </w:rPr>
        <w:t xml:space="preserve"> and recommendations, and will be submitted by the consultant based on the definitive final report, to </w:t>
      </w:r>
      <w:r w:rsidRPr="00672650">
        <w:rPr>
          <w:rFonts w:ascii="Arial" w:hAnsi="Arial" w:cs="Arial"/>
        </w:rPr>
        <w:t xml:space="preserve">the </w:t>
      </w:r>
      <w:r w:rsidR="004939C0" w:rsidRPr="00672650">
        <w:rPr>
          <w:rFonts w:ascii="Arial" w:hAnsi="Arial" w:cs="Arial"/>
        </w:rPr>
        <w:t xml:space="preserve">committee for feedback and approval. This version should be no longer than 5 pages, submitted in </w:t>
      </w:r>
      <w:r w:rsidRPr="00672650">
        <w:rPr>
          <w:rFonts w:ascii="Arial" w:hAnsi="Arial" w:cs="Arial"/>
        </w:rPr>
        <w:t>Word</w:t>
      </w:r>
      <w:r w:rsidR="004939C0" w:rsidRPr="00672650">
        <w:rPr>
          <w:rFonts w:ascii="Arial" w:hAnsi="Arial" w:cs="Arial"/>
        </w:rPr>
        <w:t>, 12-point font</w:t>
      </w:r>
      <w:r w:rsidRPr="00672650">
        <w:rPr>
          <w:rFonts w:ascii="Arial" w:hAnsi="Arial" w:cs="Arial"/>
        </w:rPr>
        <w:t>,</w:t>
      </w:r>
      <w:r w:rsidR="004939C0" w:rsidRPr="00672650">
        <w:rPr>
          <w:rFonts w:ascii="Arial" w:hAnsi="Arial" w:cs="Arial"/>
        </w:rPr>
        <w:t xml:space="preserve"> and single spacing</w:t>
      </w:r>
      <w:r w:rsidR="00021640" w:rsidRPr="00672650">
        <w:rPr>
          <w:rFonts w:ascii="Arial" w:hAnsi="Arial" w:cs="Arial"/>
        </w:rPr>
        <w:t>.</w:t>
      </w:r>
    </w:p>
    <w:p w14:paraId="4B601D3F" w14:textId="77777777" w:rsidR="00672650" w:rsidRPr="00672650" w:rsidRDefault="00672650" w:rsidP="00672650">
      <w:pPr>
        <w:pStyle w:val="ListParagraph"/>
        <w:spacing w:line="276" w:lineRule="auto"/>
        <w:jc w:val="both"/>
        <w:rPr>
          <w:rFonts w:ascii="Arial" w:hAnsi="Arial" w:cs="Arial"/>
          <w:b/>
          <w:bCs/>
        </w:rPr>
      </w:pPr>
    </w:p>
    <w:p w14:paraId="534A6B83" w14:textId="42B87C03" w:rsidR="004939C0" w:rsidRPr="00714496" w:rsidRDefault="004939C0" w:rsidP="00537940">
      <w:pPr>
        <w:pStyle w:val="Heading2"/>
        <w:rPr>
          <w:rFonts w:ascii="Arial" w:hAnsi="Arial" w:cs="Arial"/>
        </w:rPr>
      </w:pPr>
      <w:r w:rsidRPr="00714496">
        <w:rPr>
          <w:rFonts w:ascii="Arial" w:hAnsi="Arial" w:cs="Arial"/>
        </w:rPr>
        <w:t>Evaluator</w:t>
      </w:r>
      <w:r w:rsidR="00537940" w:rsidRPr="00714496">
        <w:rPr>
          <w:rFonts w:ascii="Arial" w:hAnsi="Arial" w:cs="Arial"/>
        </w:rPr>
        <w:t>(s) Qualifications</w:t>
      </w:r>
    </w:p>
    <w:p w14:paraId="690B6C2F" w14:textId="03FFE523" w:rsidR="004939C0" w:rsidRPr="00714496" w:rsidRDefault="00537940" w:rsidP="00B85BFD">
      <w:pPr>
        <w:spacing w:line="276" w:lineRule="auto"/>
        <w:jc w:val="both"/>
        <w:rPr>
          <w:rFonts w:ascii="Arial" w:hAnsi="Arial" w:cs="Arial"/>
        </w:rPr>
      </w:pPr>
      <w:r w:rsidRPr="00714496">
        <w:rPr>
          <w:rFonts w:ascii="Arial" w:hAnsi="Arial" w:cs="Arial"/>
        </w:rPr>
        <w:t>The competency</w:t>
      </w:r>
      <w:r w:rsidR="004939C0" w:rsidRPr="00714496">
        <w:rPr>
          <w:rFonts w:ascii="Arial" w:hAnsi="Arial" w:cs="Arial"/>
        </w:rPr>
        <w:t xml:space="preserve"> requirements for the evaluator(s) are: </w:t>
      </w:r>
    </w:p>
    <w:p w14:paraId="764240FB" w14:textId="562E856A" w:rsidR="004939C0" w:rsidRPr="00714496" w:rsidRDefault="004939C0" w:rsidP="00DB0188">
      <w:pPr>
        <w:pStyle w:val="ListParagraph"/>
        <w:numPr>
          <w:ilvl w:val="0"/>
          <w:numId w:val="1"/>
        </w:numPr>
        <w:spacing w:line="276" w:lineRule="auto"/>
        <w:jc w:val="both"/>
        <w:rPr>
          <w:rFonts w:ascii="Arial" w:hAnsi="Arial" w:cs="Arial"/>
        </w:rPr>
      </w:pPr>
      <w:r w:rsidRPr="00714496">
        <w:rPr>
          <w:rFonts w:ascii="Arial" w:hAnsi="Arial" w:cs="Arial"/>
        </w:rPr>
        <w:t xml:space="preserve">University degree(s) at post-graduate level in relevant fields of study (health in humanitarian settings and </w:t>
      </w:r>
      <w:r w:rsidR="00537940" w:rsidRPr="00714496">
        <w:rPr>
          <w:rFonts w:ascii="Arial" w:hAnsi="Arial" w:cs="Arial"/>
        </w:rPr>
        <w:t>organizational</w:t>
      </w:r>
      <w:r w:rsidRPr="00714496">
        <w:rPr>
          <w:rFonts w:ascii="Arial" w:hAnsi="Arial" w:cs="Arial"/>
        </w:rPr>
        <w:t xml:space="preserve"> development or equivalent) and relevant work experience in health/</w:t>
      </w:r>
      <w:r w:rsidR="00537940" w:rsidRPr="00714496">
        <w:rPr>
          <w:rFonts w:ascii="Arial" w:hAnsi="Arial" w:cs="Arial"/>
        </w:rPr>
        <w:t>organizational</w:t>
      </w:r>
      <w:r w:rsidRPr="00714496">
        <w:rPr>
          <w:rFonts w:ascii="Arial" w:hAnsi="Arial" w:cs="Arial"/>
        </w:rPr>
        <w:t xml:space="preserve"> development/ humanitarian/ development </w:t>
      </w:r>
      <w:proofErr w:type="spellStart"/>
      <w:r w:rsidRPr="00714496">
        <w:rPr>
          <w:rFonts w:ascii="Arial" w:hAnsi="Arial" w:cs="Arial"/>
        </w:rPr>
        <w:t>programme</w:t>
      </w:r>
      <w:proofErr w:type="spellEnd"/>
      <w:r w:rsidR="00537940" w:rsidRPr="00714496">
        <w:rPr>
          <w:rFonts w:ascii="Arial" w:hAnsi="Arial" w:cs="Arial"/>
        </w:rPr>
        <w:t>.</w:t>
      </w:r>
    </w:p>
    <w:p w14:paraId="66C3CB53" w14:textId="593C8EA1" w:rsidR="004939C0" w:rsidRPr="00714496" w:rsidRDefault="004939C0" w:rsidP="00DB0188">
      <w:pPr>
        <w:pStyle w:val="ListParagraph"/>
        <w:numPr>
          <w:ilvl w:val="0"/>
          <w:numId w:val="1"/>
        </w:numPr>
        <w:spacing w:line="276" w:lineRule="auto"/>
        <w:jc w:val="both"/>
        <w:rPr>
          <w:rFonts w:ascii="Arial" w:hAnsi="Arial" w:cs="Arial"/>
        </w:rPr>
      </w:pPr>
      <w:r w:rsidRPr="39469899">
        <w:rPr>
          <w:rFonts w:ascii="Arial" w:hAnsi="Arial" w:cs="Arial"/>
        </w:rPr>
        <w:t xml:space="preserve">Familiarity with trends and developments in humanitarian work in areas of </w:t>
      </w:r>
      <w:r w:rsidR="009042ED" w:rsidRPr="39469899">
        <w:rPr>
          <w:rFonts w:ascii="Arial" w:hAnsi="Arial" w:cs="Arial"/>
        </w:rPr>
        <w:t>health,</w:t>
      </w:r>
      <w:r w:rsidR="00672650" w:rsidRPr="39469899">
        <w:rPr>
          <w:rFonts w:ascii="Arial" w:hAnsi="Arial" w:cs="Arial"/>
        </w:rPr>
        <w:t xml:space="preserve"> cash and protection </w:t>
      </w:r>
      <w:r w:rsidRPr="39469899">
        <w:rPr>
          <w:rFonts w:ascii="Arial" w:hAnsi="Arial" w:cs="Arial"/>
        </w:rPr>
        <w:t xml:space="preserve">and </w:t>
      </w:r>
      <w:r w:rsidR="00537940" w:rsidRPr="39469899">
        <w:rPr>
          <w:rFonts w:ascii="Arial" w:hAnsi="Arial" w:cs="Arial"/>
        </w:rPr>
        <w:t>organizational</w:t>
      </w:r>
      <w:r w:rsidRPr="39469899">
        <w:rPr>
          <w:rFonts w:ascii="Arial" w:hAnsi="Arial" w:cs="Arial"/>
        </w:rPr>
        <w:t xml:space="preserve"> development </w:t>
      </w:r>
      <w:r w:rsidR="00537940" w:rsidRPr="39469899">
        <w:rPr>
          <w:rFonts w:ascii="Arial" w:hAnsi="Arial" w:cs="Arial"/>
        </w:rPr>
        <w:t>preferred.</w:t>
      </w:r>
    </w:p>
    <w:p w14:paraId="005C2FF5" w14:textId="29FCCE8E" w:rsidR="004939C0" w:rsidRPr="00714496" w:rsidRDefault="004939C0" w:rsidP="00DB0188">
      <w:pPr>
        <w:pStyle w:val="ListParagraph"/>
        <w:numPr>
          <w:ilvl w:val="0"/>
          <w:numId w:val="1"/>
        </w:numPr>
        <w:spacing w:line="276" w:lineRule="auto"/>
        <w:jc w:val="both"/>
        <w:rPr>
          <w:rFonts w:ascii="Arial" w:hAnsi="Arial" w:cs="Arial"/>
        </w:rPr>
      </w:pPr>
      <w:r w:rsidRPr="3078EBB2">
        <w:rPr>
          <w:rFonts w:ascii="Arial" w:hAnsi="Arial" w:cs="Arial"/>
        </w:rPr>
        <w:t xml:space="preserve">Minimum of 7 </w:t>
      </w:r>
      <w:r w:rsidR="0A46B72A" w:rsidRPr="3078EBB2">
        <w:rPr>
          <w:rFonts w:ascii="Arial" w:hAnsi="Arial" w:cs="Arial"/>
        </w:rPr>
        <w:t>years</w:t>
      </w:r>
      <w:r w:rsidRPr="3078EBB2">
        <w:rPr>
          <w:rFonts w:ascii="Arial" w:hAnsi="Arial" w:cs="Arial"/>
        </w:rPr>
        <w:t xml:space="preserve"> of experience in evaluation and social science, or </w:t>
      </w:r>
      <w:r w:rsidR="00537940" w:rsidRPr="3078EBB2">
        <w:rPr>
          <w:rFonts w:ascii="Arial" w:hAnsi="Arial" w:cs="Arial"/>
        </w:rPr>
        <w:t>similar</w:t>
      </w:r>
      <w:r w:rsidRPr="3078EBB2">
        <w:rPr>
          <w:rFonts w:ascii="Arial" w:hAnsi="Arial" w:cs="Arial"/>
        </w:rPr>
        <w:t xml:space="preserve"> methodology </w:t>
      </w:r>
      <w:r w:rsidR="00537940" w:rsidRPr="3078EBB2">
        <w:rPr>
          <w:rFonts w:ascii="Arial" w:hAnsi="Arial" w:cs="Arial"/>
        </w:rPr>
        <w:t>required.</w:t>
      </w:r>
    </w:p>
    <w:p w14:paraId="66A49C09" w14:textId="0891ACB4" w:rsidR="001D64B4" w:rsidRPr="00714496" w:rsidRDefault="004939C0" w:rsidP="00DB0188">
      <w:pPr>
        <w:pStyle w:val="ListParagraph"/>
        <w:numPr>
          <w:ilvl w:val="0"/>
          <w:numId w:val="1"/>
        </w:numPr>
        <w:spacing w:line="276" w:lineRule="auto"/>
        <w:jc w:val="both"/>
        <w:rPr>
          <w:rFonts w:ascii="Arial" w:hAnsi="Arial" w:cs="Arial"/>
        </w:rPr>
      </w:pPr>
      <w:r w:rsidRPr="00714496">
        <w:rPr>
          <w:rFonts w:ascii="Arial" w:hAnsi="Arial" w:cs="Arial"/>
        </w:rPr>
        <w:t xml:space="preserve">Demonstrated experience in planning and </w:t>
      </w:r>
      <w:proofErr w:type="gramStart"/>
      <w:r w:rsidRPr="00714496">
        <w:rPr>
          <w:rFonts w:ascii="Arial" w:hAnsi="Arial" w:cs="Arial"/>
        </w:rPr>
        <w:t xml:space="preserve">implementing </w:t>
      </w:r>
      <w:r w:rsidR="00672650">
        <w:rPr>
          <w:rFonts w:ascii="Arial" w:hAnsi="Arial" w:cs="Arial"/>
        </w:rPr>
        <w:t>in</w:t>
      </w:r>
      <w:proofErr w:type="gramEnd"/>
      <w:r w:rsidR="00672650">
        <w:rPr>
          <w:rFonts w:ascii="Arial" w:hAnsi="Arial" w:cs="Arial"/>
        </w:rPr>
        <w:t xml:space="preserve"> needs assessment, outcome monitoring and/or </w:t>
      </w:r>
      <w:r w:rsidRPr="00714496">
        <w:rPr>
          <w:rFonts w:ascii="Arial" w:hAnsi="Arial" w:cs="Arial"/>
        </w:rPr>
        <w:t xml:space="preserve">final project evaluations required, inclusive of competency and track record in managing quantitative and qualitative data collection methods and </w:t>
      </w:r>
      <w:r w:rsidR="00537940" w:rsidRPr="00714496">
        <w:rPr>
          <w:rFonts w:ascii="Arial" w:hAnsi="Arial" w:cs="Arial"/>
        </w:rPr>
        <w:t>analysis.</w:t>
      </w:r>
      <w:r w:rsidRPr="00714496">
        <w:rPr>
          <w:rFonts w:ascii="Arial" w:hAnsi="Arial" w:cs="Arial"/>
        </w:rPr>
        <w:t xml:space="preserve">   </w:t>
      </w:r>
    </w:p>
    <w:p w14:paraId="5AB616FB" w14:textId="1FF4F9F7" w:rsidR="004939C0" w:rsidRPr="00714496" w:rsidRDefault="001D64B4" w:rsidP="00DB0188">
      <w:pPr>
        <w:pStyle w:val="ListParagraph"/>
        <w:numPr>
          <w:ilvl w:val="0"/>
          <w:numId w:val="1"/>
        </w:numPr>
        <w:spacing w:line="276" w:lineRule="auto"/>
        <w:jc w:val="both"/>
        <w:rPr>
          <w:rFonts w:ascii="Arial" w:hAnsi="Arial" w:cs="Arial"/>
        </w:rPr>
      </w:pPr>
      <w:r w:rsidRPr="00714496">
        <w:rPr>
          <w:rFonts w:ascii="Arial" w:hAnsi="Arial" w:cs="Arial"/>
          <w:color w:val="0D0D0D"/>
          <w:shd w:val="clear" w:color="auto" w:fill="FFFFFF"/>
        </w:rPr>
        <w:t xml:space="preserve">Preference is given to candidates with a background in working in geographical areas of focus, possessing knowledge of </w:t>
      </w:r>
      <w:r w:rsidR="00E107C8">
        <w:rPr>
          <w:rFonts w:ascii="Arial" w:hAnsi="Arial" w:cs="Arial"/>
          <w:color w:val="0D0D0D"/>
          <w:shd w:val="clear" w:color="auto" w:fill="FFFFFF"/>
        </w:rPr>
        <w:t xml:space="preserve">relevant </w:t>
      </w:r>
      <w:r w:rsidRPr="00714496">
        <w:rPr>
          <w:rFonts w:ascii="Arial" w:hAnsi="Arial" w:cs="Arial"/>
          <w:color w:val="0D0D0D"/>
          <w:shd w:val="clear" w:color="auto" w:fill="FFFFFF"/>
        </w:rPr>
        <w:t xml:space="preserve">context, security, and culture, and demonstrating experience in implementing programs in </w:t>
      </w:r>
      <w:r w:rsidR="00D80DCB" w:rsidRPr="00714496">
        <w:rPr>
          <w:rFonts w:ascii="Arial" w:hAnsi="Arial" w:cs="Arial"/>
          <w:color w:val="0D0D0D"/>
          <w:shd w:val="clear" w:color="auto" w:fill="FFFFFF"/>
        </w:rPr>
        <w:t>high-security</w:t>
      </w:r>
      <w:r w:rsidRPr="00714496">
        <w:rPr>
          <w:rFonts w:ascii="Arial" w:hAnsi="Arial" w:cs="Arial"/>
          <w:color w:val="0D0D0D"/>
          <w:shd w:val="clear" w:color="auto" w:fill="FFFFFF"/>
        </w:rPr>
        <w:t xml:space="preserve"> </w:t>
      </w:r>
      <w:r w:rsidR="00D80DCB" w:rsidRPr="00714496">
        <w:rPr>
          <w:rFonts w:ascii="Arial" w:hAnsi="Arial" w:cs="Arial"/>
          <w:color w:val="0D0D0D"/>
          <w:shd w:val="clear" w:color="auto" w:fill="FFFFFF"/>
        </w:rPr>
        <w:t>contexts.</w:t>
      </w:r>
      <w:r w:rsidR="004939C0" w:rsidRPr="00714496">
        <w:rPr>
          <w:rFonts w:ascii="Arial" w:hAnsi="Arial" w:cs="Arial"/>
        </w:rPr>
        <w:t xml:space="preserve"> </w:t>
      </w:r>
    </w:p>
    <w:p w14:paraId="169C8C67" w14:textId="0319F8F8" w:rsidR="004939C0" w:rsidRPr="00714496" w:rsidRDefault="004939C0" w:rsidP="00DB0188">
      <w:pPr>
        <w:pStyle w:val="ListParagraph"/>
        <w:numPr>
          <w:ilvl w:val="0"/>
          <w:numId w:val="1"/>
        </w:numPr>
        <w:spacing w:line="276" w:lineRule="auto"/>
        <w:jc w:val="both"/>
        <w:rPr>
          <w:rFonts w:ascii="Arial" w:hAnsi="Arial" w:cs="Arial"/>
        </w:rPr>
      </w:pPr>
      <w:r w:rsidRPr="00714496">
        <w:rPr>
          <w:rFonts w:ascii="Arial" w:hAnsi="Arial" w:cs="Arial"/>
        </w:rPr>
        <w:t xml:space="preserve">Knowledge and experience of working with the Red Cross Red Crescent Movement </w:t>
      </w:r>
      <w:r w:rsidR="00537940" w:rsidRPr="00714496">
        <w:rPr>
          <w:rFonts w:ascii="Arial" w:hAnsi="Arial" w:cs="Arial"/>
        </w:rPr>
        <w:t>preferred.</w:t>
      </w:r>
    </w:p>
    <w:p w14:paraId="6C5CEA78" w14:textId="2128E5B2" w:rsidR="004939C0" w:rsidRPr="00714496" w:rsidRDefault="004939C0" w:rsidP="00DB0188">
      <w:pPr>
        <w:pStyle w:val="ListParagraph"/>
        <w:numPr>
          <w:ilvl w:val="0"/>
          <w:numId w:val="1"/>
        </w:numPr>
        <w:spacing w:line="276" w:lineRule="auto"/>
        <w:jc w:val="both"/>
        <w:rPr>
          <w:rFonts w:ascii="Arial" w:hAnsi="Arial" w:cs="Arial"/>
        </w:rPr>
      </w:pPr>
      <w:r w:rsidRPr="00714496">
        <w:rPr>
          <w:rFonts w:ascii="Arial" w:hAnsi="Arial" w:cs="Arial"/>
        </w:rPr>
        <w:t>Excellent written and spoken English</w:t>
      </w:r>
      <w:r w:rsidR="001D47ED" w:rsidRPr="00714496">
        <w:rPr>
          <w:rFonts w:ascii="Arial" w:hAnsi="Arial" w:cs="Arial"/>
        </w:rPr>
        <w:t xml:space="preserve"> along with communication</w:t>
      </w:r>
      <w:r w:rsidRPr="00714496">
        <w:rPr>
          <w:rFonts w:ascii="Arial" w:hAnsi="Arial" w:cs="Arial"/>
        </w:rPr>
        <w:t xml:space="preserve"> skills required</w:t>
      </w:r>
      <w:r w:rsidR="00537940" w:rsidRPr="00714496">
        <w:rPr>
          <w:rFonts w:ascii="Arial" w:hAnsi="Arial" w:cs="Arial"/>
        </w:rPr>
        <w:t>.</w:t>
      </w:r>
    </w:p>
    <w:p w14:paraId="7EDA3E5E" w14:textId="3CC00314" w:rsidR="004939C0" w:rsidRPr="00714496" w:rsidRDefault="004939C0" w:rsidP="00DB0188">
      <w:pPr>
        <w:pStyle w:val="ListParagraph"/>
        <w:numPr>
          <w:ilvl w:val="0"/>
          <w:numId w:val="1"/>
        </w:numPr>
        <w:spacing w:line="276" w:lineRule="auto"/>
        <w:jc w:val="both"/>
        <w:rPr>
          <w:rFonts w:ascii="Arial" w:hAnsi="Arial" w:cs="Arial"/>
        </w:rPr>
      </w:pPr>
      <w:r w:rsidRPr="00714496">
        <w:rPr>
          <w:rFonts w:ascii="Arial" w:hAnsi="Arial" w:cs="Arial"/>
        </w:rPr>
        <w:t xml:space="preserve">Demonstrated capacity to work both independently and as part of a </w:t>
      </w:r>
      <w:r w:rsidR="00537940" w:rsidRPr="00714496">
        <w:rPr>
          <w:rFonts w:ascii="Arial" w:hAnsi="Arial" w:cs="Arial"/>
        </w:rPr>
        <w:t>team.</w:t>
      </w:r>
    </w:p>
    <w:p w14:paraId="15978606" w14:textId="652BC04E" w:rsidR="004939C0" w:rsidRPr="00714496" w:rsidRDefault="004939C0" w:rsidP="00537940">
      <w:pPr>
        <w:pStyle w:val="Heading2"/>
        <w:rPr>
          <w:rFonts w:ascii="Arial" w:hAnsi="Arial" w:cs="Arial"/>
        </w:rPr>
      </w:pPr>
      <w:r w:rsidRPr="170A07CE">
        <w:rPr>
          <w:rFonts w:ascii="Arial" w:hAnsi="Arial" w:cs="Arial"/>
        </w:rPr>
        <w:t>Application procedure</w:t>
      </w:r>
      <w:r w:rsidR="00537940" w:rsidRPr="170A07CE">
        <w:rPr>
          <w:rFonts w:ascii="Arial" w:hAnsi="Arial" w:cs="Arial"/>
        </w:rPr>
        <w:t>:</w:t>
      </w:r>
    </w:p>
    <w:p w14:paraId="70FD60FB" w14:textId="15D53807" w:rsidR="004939C0" w:rsidRPr="00714496" w:rsidRDefault="004939C0" w:rsidP="00B85BFD">
      <w:pPr>
        <w:spacing w:line="276" w:lineRule="auto"/>
        <w:jc w:val="both"/>
        <w:rPr>
          <w:rFonts w:ascii="Arial" w:hAnsi="Arial" w:cs="Arial"/>
        </w:rPr>
      </w:pPr>
      <w:r w:rsidRPr="00714496">
        <w:rPr>
          <w:rFonts w:ascii="Arial" w:hAnsi="Arial" w:cs="Arial"/>
        </w:rPr>
        <w:t xml:space="preserve">Proposals will be ranked according to how they </w:t>
      </w:r>
      <w:r w:rsidR="00537940" w:rsidRPr="00714496">
        <w:rPr>
          <w:rFonts w:ascii="Arial" w:hAnsi="Arial" w:cs="Arial"/>
        </w:rPr>
        <w:t>fulfill</w:t>
      </w:r>
      <w:r w:rsidRPr="00714496">
        <w:rPr>
          <w:rFonts w:ascii="Arial" w:hAnsi="Arial" w:cs="Arial"/>
        </w:rPr>
        <w:t xml:space="preserve"> the three following requirements:</w:t>
      </w:r>
    </w:p>
    <w:p w14:paraId="437E5DFE" w14:textId="4C362D37" w:rsidR="004939C0" w:rsidRPr="00714496" w:rsidRDefault="004939C0" w:rsidP="00DB0188">
      <w:pPr>
        <w:pStyle w:val="ListParagraph"/>
        <w:numPr>
          <w:ilvl w:val="0"/>
          <w:numId w:val="1"/>
        </w:numPr>
        <w:spacing w:line="276" w:lineRule="auto"/>
        <w:jc w:val="both"/>
        <w:rPr>
          <w:rFonts w:ascii="Arial" w:hAnsi="Arial" w:cs="Arial"/>
        </w:rPr>
      </w:pPr>
      <w:r w:rsidRPr="00714496">
        <w:rPr>
          <w:rFonts w:ascii="Arial" w:hAnsi="Arial" w:cs="Arial"/>
        </w:rPr>
        <w:t>Team qualifications (50%)</w:t>
      </w:r>
    </w:p>
    <w:p w14:paraId="61E8A6D3" w14:textId="1EE21974" w:rsidR="004939C0" w:rsidRPr="00714496" w:rsidRDefault="004939C0" w:rsidP="00DB0188">
      <w:pPr>
        <w:pStyle w:val="ListParagraph"/>
        <w:numPr>
          <w:ilvl w:val="0"/>
          <w:numId w:val="1"/>
        </w:numPr>
        <w:spacing w:line="276" w:lineRule="auto"/>
        <w:jc w:val="both"/>
        <w:rPr>
          <w:rFonts w:ascii="Arial" w:hAnsi="Arial" w:cs="Arial"/>
        </w:rPr>
      </w:pPr>
      <w:r w:rsidRPr="00714496">
        <w:rPr>
          <w:rFonts w:ascii="Arial" w:hAnsi="Arial" w:cs="Arial"/>
        </w:rPr>
        <w:t>Methodological approach (25%)</w:t>
      </w:r>
    </w:p>
    <w:p w14:paraId="3554C66B" w14:textId="4E57F923" w:rsidR="004939C0" w:rsidRPr="00714496" w:rsidRDefault="004939C0" w:rsidP="00DB0188">
      <w:pPr>
        <w:pStyle w:val="ListParagraph"/>
        <w:numPr>
          <w:ilvl w:val="0"/>
          <w:numId w:val="1"/>
        </w:numPr>
        <w:spacing w:line="276" w:lineRule="auto"/>
        <w:jc w:val="both"/>
        <w:rPr>
          <w:rFonts w:ascii="Arial" w:hAnsi="Arial" w:cs="Arial"/>
        </w:rPr>
      </w:pPr>
      <w:r w:rsidRPr="00714496">
        <w:rPr>
          <w:rFonts w:ascii="Arial" w:hAnsi="Arial" w:cs="Arial"/>
        </w:rPr>
        <w:t>Price (25%)</w:t>
      </w:r>
    </w:p>
    <w:p w14:paraId="104CC194" w14:textId="0B415434" w:rsidR="004939C0" w:rsidRPr="00714496" w:rsidRDefault="004939C0" w:rsidP="00B85BFD">
      <w:pPr>
        <w:spacing w:line="276" w:lineRule="auto"/>
        <w:jc w:val="both"/>
        <w:rPr>
          <w:rFonts w:ascii="Arial" w:hAnsi="Arial" w:cs="Arial"/>
        </w:rPr>
      </w:pPr>
      <w:r w:rsidRPr="00714496">
        <w:rPr>
          <w:rFonts w:ascii="Arial" w:hAnsi="Arial" w:cs="Arial"/>
        </w:rPr>
        <w:t xml:space="preserve">Interested candidates should submit their application material by </w:t>
      </w:r>
      <w:r w:rsidR="00D03A4B">
        <w:rPr>
          <w:rFonts w:ascii="Arial" w:hAnsi="Arial" w:cs="Arial"/>
        </w:rPr>
        <w:t>0</w:t>
      </w:r>
      <w:r w:rsidR="009D7E24">
        <w:rPr>
          <w:rFonts w:ascii="Arial" w:hAnsi="Arial" w:cs="Arial"/>
        </w:rPr>
        <w:t>7.</w:t>
      </w:r>
      <w:r w:rsidR="00D03A4B">
        <w:rPr>
          <w:rFonts w:ascii="Arial" w:hAnsi="Arial" w:cs="Arial"/>
        </w:rPr>
        <w:t>04.2025</w:t>
      </w:r>
      <w:r w:rsidRPr="00714496">
        <w:rPr>
          <w:rFonts w:ascii="Arial" w:hAnsi="Arial" w:cs="Arial"/>
        </w:rPr>
        <w:t xml:space="preserve"> to:</w:t>
      </w:r>
    </w:p>
    <w:p w14:paraId="1A753BDC" w14:textId="4138E7EF" w:rsidR="004939C0" w:rsidRPr="00714496" w:rsidRDefault="001D2962" w:rsidP="00DB0188">
      <w:pPr>
        <w:pStyle w:val="ListParagraph"/>
        <w:numPr>
          <w:ilvl w:val="0"/>
          <w:numId w:val="3"/>
        </w:numPr>
        <w:spacing w:line="276" w:lineRule="auto"/>
        <w:jc w:val="both"/>
        <w:rPr>
          <w:rFonts w:ascii="Arial" w:hAnsi="Arial" w:cs="Arial"/>
        </w:rPr>
      </w:pPr>
      <w:r>
        <w:rPr>
          <w:rFonts w:ascii="Arial" w:hAnsi="Arial" w:cs="Arial"/>
        </w:rPr>
        <w:t>Sudan</w:t>
      </w:r>
      <w:r w:rsidR="004939C0" w:rsidRPr="00714496">
        <w:rPr>
          <w:rFonts w:ascii="Arial" w:hAnsi="Arial" w:cs="Arial"/>
        </w:rPr>
        <w:t xml:space="preserve"> Manager, </w:t>
      </w:r>
      <w:r w:rsidR="00E107C8">
        <w:rPr>
          <w:rFonts w:ascii="Arial" w:hAnsi="Arial" w:cs="Arial"/>
        </w:rPr>
        <w:t>(</w:t>
      </w:r>
      <w:r w:rsidR="00E107C8" w:rsidRPr="00E107C8">
        <w:rPr>
          <w:rFonts w:ascii="Arial" w:hAnsi="Arial" w:cs="Arial"/>
          <w:color w:val="FF0000"/>
        </w:rPr>
        <w:t xml:space="preserve">name of </w:t>
      </w:r>
      <w:r>
        <w:rPr>
          <w:rFonts w:ascii="Arial" w:hAnsi="Arial" w:cs="Arial"/>
          <w:color w:val="FF0000"/>
        </w:rPr>
        <w:t>Sudan</w:t>
      </w:r>
      <w:r w:rsidR="00E107C8">
        <w:rPr>
          <w:rFonts w:ascii="Arial" w:hAnsi="Arial" w:cs="Arial"/>
        </w:rPr>
        <w:t>)</w:t>
      </w:r>
      <w:r w:rsidR="004939C0" w:rsidRPr="00714496">
        <w:rPr>
          <w:rFonts w:ascii="Arial" w:hAnsi="Arial" w:cs="Arial"/>
        </w:rPr>
        <w:t xml:space="preserve"> with </w:t>
      </w:r>
      <w:r w:rsidR="00537940" w:rsidRPr="00714496">
        <w:rPr>
          <w:rFonts w:ascii="Arial" w:hAnsi="Arial" w:cs="Arial"/>
        </w:rPr>
        <w:t xml:space="preserve">a </w:t>
      </w:r>
      <w:r w:rsidR="004939C0" w:rsidRPr="00714496">
        <w:rPr>
          <w:rFonts w:ascii="Arial" w:hAnsi="Arial" w:cs="Arial"/>
        </w:rPr>
        <w:t>copy to</w:t>
      </w:r>
      <w:r w:rsidR="00537940" w:rsidRPr="00714496">
        <w:rPr>
          <w:rFonts w:ascii="Arial" w:hAnsi="Arial" w:cs="Arial"/>
        </w:rPr>
        <w:t xml:space="preserve"> </w:t>
      </w:r>
      <w:proofErr w:type="spellStart"/>
      <w:r w:rsidR="00D03A4B">
        <w:rPr>
          <w:rFonts w:ascii="Arial" w:hAnsi="Arial" w:cs="Arial"/>
        </w:rPr>
        <w:t>NoRC</w:t>
      </w:r>
      <w:proofErr w:type="spellEnd"/>
      <w:r w:rsidR="00D03A4B">
        <w:rPr>
          <w:rFonts w:ascii="Arial" w:hAnsi="Arial" w:cs="Arial"/>
        </w:rPr>
        <w:t xml:space="preserve"> Country </w:t>
      </w:r>
      <w:proofErr w:type="gramStart"/>
      <w:r w:rsidR="00D03A4B">
        <w:rPr>
          <w:rFonts w:ascii="Arial" w:hAnsi="Arial" w:cs="Arial"/>
        </w:rPr>
        <w:t>Manager(</w:t>
      </w:r>
      <w:proofErr w:type="gramEnd"/>
      <w:r w:rsidR="00D03A4B">
        <w:rPr>
          <w:rFonts w:ascii="Arial" w:hAnsi="Arial" w:cs="Arial"/>
        </w:rPr>
        <w:t>CM), ayoub.ayoub@redcross.org.</w:t>
      </w:r>
    </w:p>
    <w:p w14:paraId="1E863646" w14:textId="31624417" w:rsidR="004939C0" w:rsidRPr="00714496" w:rsidRDefault="004939C0" w:rsidP="00DB0188">
      <w:pPr>
        <w:pStyle w:val="ListParagraph"/>
        <w:numPr>
          <w:ilvl w:val="0"/>
          <w:numId w:val="3"/>
        </w:numPr>
        <w:spacing w:line="276" w:lineRule="auto"/>
        <w:jc w:val="both"/>
        <w:rPr>
          <w:rFonts w:ascii="Arial" w:hAnsi="Arial" w:cs="Arial"/>
        </w:rPr>
      </w:pPr>
      <w:r w:rsidRPr="00714496">
        <w:rPr>
          <w:rFonts w:ascii="Arial" w:hAnsi="Arial" w:cs="Arial"/>
        </w:rPr>
        <w:t xml:space="preserve">If you have questions related to </w:t>
      </w:r>
      <w:proofErr w:type="gramStart"/>
      <w:r w:rsidRPr="00714496">
        <w:rPr>
          <w:rFonts w:ascii="Arial" w:hAnsi="Arial" w:cs="Arial"/>
        </w:rPr>
        <w:t xml:space="preserve">the </w:t>
      </w:r>
      <w:proofErr w:type="spellStart"/>
      <w:r w:rsidRPr="00714496">
        <w:rPr>
          <w:rFonts w:ascii="Arial" w:hAnsi="Arial" w:cs="Arial"/>
        </w:rPr>
        <w:t>ToR</w:t>
      </w:r>
      <w:proofErr w:type="spellEnd"/>
      <w:proofErr w:type="gramEnd"/>
      <w:r w:rsidRPr="00714496">
        <w:rPr>
          <w:rFonts w:ascii="Arial" w:hAnsi="Arial" w:cs="Arial"/>
        </w:rPr>
        <w:t xml:space="preserve">, please contact </w:t>
      </w:r>
      <w:proofErr w:type="spellStart"/>
      <w:r w:rsidR="00D03A4B">
        <w:rPr>
          <w:rFonts w:ascii="Arial" w:hAnsi="Arial" w:cs="Arial"/>
        </w:rPr>
        <w:t>NoRC</w:t>
      </w:r>
      <w:proofErr w:type="spellEnd"/>
      <w:r w:rsidR="00D03A4B">
        <w:rPr>
          <w:rFonts w:ascii="Arial" w:hAnsi="Arial" w:cs="Arial"/>
        </w:rPr>
        <w:t xml:space="preserve"> </w:t>
      </w:r>
      <w:r w:rsidR="00537940" w:rsidRPr="00714496">
        <w:rPr>
          <w:rFonts w:ascii="Arial" w:hAnsi="Arial" w:cs="Arial"/>
        </w:rPr>
        <w:t>CM</w:t>
      </w:r>
      <w:r w:rsidR="00D03A4B">
        <w:rPr>
          <w:rFonts w:ascii="Arial" w:hAnsi="Arial" w:cs="Arial"/>
        </w:rPr>
        <w:t xml:space="preserve"> using the same email address. </w:t>
      </w:r>
    </w:p>
    <w:p w14:paraId="1DDCDC9F" w14:textId="77777777" w:rsidR="004939C0" w:rsidRPr="00714496" w:rsidRDefault="004939C0" w:rsidP="00B85BFD">
      <w:pPr>
        <w:spacing w:line="276" w:lineRule="auto"/>
        <w:jc w:val="both"/>
        <w:rPr>
          <w:rFonts w:ascii="Arial" w:hAnsi="Arial" w:cs="Arial"/>
        </w:rPr>
      </w:pPr>
      <w:r w:rsidRPr="00714496">
        <w:rPr>
          <w:rFonts w:ascii="Arial" w:hAnsi="Arial" w:cs="Arial"/>
        </w:rPr>
        <w:t xml:space="preserve">Application   materials should include: </w:t>
      </w:r>
    </w:p>
    <w:p w14:paraId="3D087449" w14:textId="0B66B073" w:rsidR="004939C0" w:rsidRPr="00714496" w:rsidRDefault="004939C0" w:rsidP="00DB0188">
      <w:pPr>
        <w:pStyle w:val="ListParagraph"/>
        <w:numPr>
          <w:ilvl w:val="1"/>
          <w:numId w:val="4"/>
        </w:numPr>
        <w:spacing w:line="276" w:lineRule="auto"/>
        <w:jc w:val="both"/>
        <w:rPr>
          <w:rFonts w:ascii="Arial" w:hAnsi="Arial" w:cs="Arial"/>
        </w:rPr>
      </w:pPr>
      <w:r w:rsidRPr="00714496">
        <w:rPr>
          <w:rFonts w:ascii="Arial" w:hAnsi="Arial" w:cs="Arial"/>
        </w:rPr>
        <w:lastRenderedPageBreak/>
        <w:t xml:space="preserve">Technical proposal not exceeding five pages that a) demonstrates an understanding and interpretation of the </w:t>
      </w:r>
      <w:proofErr w:type="spellStart"/>
      <w:r w:rsidRPr="00714496">
        <w:rPr>
          <w:rFonts w:ascii="Arial" w:hAnsi="Arial" w:cs="Arial"/>
        </w:rPr>
        <w:t>ToR</w:t>
      </w:r>
      <w:proofErr w:type="spellEnd"/>
      <w:r w:rsidRPr="00714496">
        <w:rPr>
          <w:rFonts w:ascii="Arial" w:hAnsi="Arial" w:cs="Arial"/>
        </w:rPr>
        <w:t>)</w:t>
      </w:r>
      <w:r w:rsidR="00F46E50" w:rsidRPr="00714496">
        <w:rPr>
          <w:rFonts w:ascii="Arial" w:hAnsi="Arial" w:cs="Arial"/>
        </w:rPr>
        <w:t>, b)</w:t>
      </w:r>
      <w:r w:rsidRPr="00714496">
        <w:rPr>
          <w:rFonts w:ascii="Arial" w:hAnsi="Arial" w:cs="Arial"/>
        </w:rPr>
        <w:t xml:space="preserve"> outlines a methodology to meet the requirements in the </w:t>
      </w:r>
      <w:proofErr w:type="spellStart"/>
      <w:r w:rsidRPr="00714496">
        <w:rPr>
          <w:rFonts w:ascii="Arial" w:hAnsi="Arial" w:cs="Arial"/>
        </w:rPr>
        <w:t>ToR</w:t>
      </w:r>
      <w:proofErr w:type="spellEnd"/>
      <w:r w:rsidRPr="00714496">
        <w:rPr>
          <w:rFonts w:ascii="Arial" w:hAnsi="Arial" w:cs="Arial"/>
        </w:rPr>
        <w:t xml:space="preserve">) </w:t>
      </w:r>
      <w:r w:rsidR="00537940" w:rsidRPr="00714496">
        <w:rPr>
          <w:rFonts w:ascii="Arial" w:hAnsi="Arial" w:cs="Arial"/>
        </w:rPr>
        <w:t xml:space="preserve">and </w:t>
      </w:r>
      <w:r w:rsidR="00F46E50" w:rsidRPr="00714496">
        <w:rPr>
          <w:rFonts w:ascii="Arial" w:hAnsi="Arial" w:cs="Arial"/>
        </w:rPr>
        <w:t xml:space="preserve">c) </w:t>
      </w:r>
      <w:r w:rsidRPr="00714496">
        <w:rPr>
          <w:rFonts w:ascii="Arial" w:hAnsi="Arial" w:cs="Arial"/>
        </w:rPr>
        <w:t xml:space="preserve">proposes a timeline for deliverables, including time for </w:t>
      </w:r>
      <w:proofErr w:type="spellStart"/>
      <w:r w:rsidR="00F94B79">
        <w:rPr>
          <w:rFonts w:ascii="Arial" w:hAnsi="Arial" w:cs="Arial"/>
        </w:rPr>
        <w:t>NoRC</w:t>
      </w:r>
      <w:proofErr w:type="spellEnd"/>
      <w:r w:rsidRPr="00714496">
        <w:rPr>
          <w:rFonts w:ascii="Arial" w:hAnsi="Arial" w:cs="Arial"/>
        </w:rPr>
        <w:t xml:space="preserve"> and partners to comment on </w:t>
      </w:r>
      <w:r w:rsidR="00537940" w:rsidRPr="00714496">
        <w:rPr>
          <w:rFonts w:ascii="Arial" w:hAnsi="Arial" w:cs="Arial"/>
        </w:rPr>
        <w:t>deliverables.</w:t>
      </w:r>
    </w:p>
    <w:p w14:paraId="0861FB06" w14:textId="51462203" w:rsidR="004939C0" w:rsidRPr="00714496" w:rsidRDefault="004939C0" w:rsidP="00DB0188">
      <w:pPr>
        <w:pStyle w:val="ListParagraph"/>
        <w:numPr>
          <w:ilvl w:val="1"/>
          <w:numId w:val="4"/>
        </w:numPr>
        <w:spacing w:line="276" w:lineRule="auto"/>
        <w:jc w:val="both"/>
        <w:rPr>
          <w:rFonts w:ascii="Arial" w:hAnsi="Arial" w:cs="Arial"/>
        </w:rPr>
      </w:pPr>
      <w:r w:rsidRPr="00714496">
        <w:rPr>
          <w:rFonts w:ascii="Arial" w:hAnsi="Arial" w:cs="Arial"/>
        </w:rPr>
        <w:t xml:space="preserve">Cover letter summarizing your experience as it pertains to this assignment, your daily rate, and three professional </w:t>
      </w:r>
      <w:r w:rsidR="00537940" w:rsidRPr="00714496">
        <w:rPr>
          <w:rFonts w:ascii="Arial" w:hAnsi="Arial" w:cs="Arial"/>
        </w:rPr>
        <w:t>references.</w:t>
      </w:r>
    </w:p>
    <w:p w14:paraId="31E7DB3D" w14:textId="39A16528" w:rsidR="004939C0" w:rsidRPr="00714496" w:rsidRDefault="004939C0" w:rsidP="00DB0188">
      <w:pPr>
        <w:pStyle w:val="ListParagraph"/>
        <w:numPr>
          <w:ilvl w:val="1"/>
          <w:numId w:val="4"/>
        </w:numPr>
        <w:spacing w:line="276" w:lineRule="auto"/>
        <w:jc w:val="both"/>
        <w:rPr>
          <w:rFonts w:ascii="Arial" w:hAnsi="Arial" w:cs="Arial"/>
        </w:rPr>
      </w:pPr>
      <w:r w:rsidRPr="00714496">
        <w:rPr>
          <w:rFonts w:ascii="Arial" w:hAnsi="Arial" w:cs="Arial"/>
        </w:rPr>
        <w:t>A brief description of your firm or institution (for applicants other than individual consultants)</w:t>
      </w:r>
    </w:p>
    <w:p w14:paraId="26D286A2" w14:textId="519F6D56" w:rsidR="004939C0" w:rsidRPr="00714496" w:rsidRDefault="004939C0" w:rsidP="00DB0188">
      <w:pPr>
        <w:pStyle w:val="ListParagraph"/>
        <w:numPr>
          <w:ilvl w:val="1"/>
          <w:numId w:val="4"/>
        </w:numPr>
        <w:spacing w:line="276" w:lineRule="auto"/>
        <w:jc w:val="both"/>
        <w:rPr>
          <w:rFonts w:ascii="Arial" w:hAnsi="Arial" w:cs="Arial"/>
        </w:rPr>
      </w:pPr>
      <w:r w:rsidRPr="00714496">
        <w:rPr>
          <w:rFonts w:ascii="Arial" w:hAnsi="Arial" w:cs="Arial"/>
        </w:rPr>
        <w:t xml:space="preserve">Curricula Vitae (CV) for all members of the team applying for </w:t>
      </w:r>
      <w:r w:rsidR="00537940" w:rsidRPr="00714496">
        <w:rPr>
          <w:rFonts w:ascii="Arial" w:hAnsi="Arial" w:cs="Arial"/>
        </w:rPr>
        <w:t>consideration.</w:t>
      </w:r>
    </w:p>
    <w:p w14:paraId="7583B5A9" w14:textId="3332075C" w:rsidR="004939C0" w:rsidRPr="00714496" w:rsidRDefault="004939C0" w:rsidP="00DB0188">
      <w:pPr>
        <w:pStyle w:val="ListParagraph"/>
        <w:numPr>
          <w:ilvl w:val="1"/>
          <w:numId w:val="4"/>
        </w:numPr>
        <w:spacing w:line="276" w:lineRule="auto"/>
        <w:jc w:val="both"/>
        <w:rPr>
          <w:rFonts w:ascii="Arial" w:hAnsi="Arial" w:cs="Arial"/>
        </w:rPr>
      </w:pPr>
      <w:r w:rsidRPr="00714496">
        <w:rPr>
          <w:rFonts w:ascii="Arial" w:hAnsi="Arial" w:cs="Arial"/>
        </w:rPr>
        <w:t xml:space="preserve">Financial proposal itemizing estimated costs for services rendered (daily consultancy fees), accommodation and living costs, transport costs, stationery costs, and any other related supplies or services required for the </w:t>
      </w:r>
      <w:r w:rsidR="00537940" w:rsidRPr="00714496">
        <w:rPr>
          <w:rFonts w:ascii="Arial" w:hAnsi="Arial" w:cs="Arial"/>
        </w:rPr>
        <w:t>evaluation.</w:t>
      </w:r>
    </w:p>
    <w:p w14:paraId="58DD192B" w14:textId="40C6957F" w:rsidR="004939C0" w:rsidRPr="00714496" w:rsidRDefault="004939C0" w:rsidP="00DB0188">
      <w:pPr>
        <w:pStyle w:val="ListParagraph"/>
        <w:numPr>
          <w:ilvl w:val="1"/>
          <w:numId w:val="4"/>
        </w:numPr>
        <w:spacing w:line="276" w:lineRule="auto"/>
        <w:jc w:val="both"/>
        <w:rPr>
          <w:rFonts w:ascii="Arial" w:hAnsi="Arial" w:cs="Arial"/>
        </w:rPr>
      </w:pPr>
      <w:r w:rsidRPr="00714496">
        <w:rPr>
          <w:rFonts w:ascii="Arial" w:hAnsi="Arial" w:cs="Arial"/>
        </w:rPr>
        <w:t xml:space="preserve">At least one example of an evaluation report most </w:t>
      </w:r>
      <w:r w:rsidR="00537940" w:rsidRPr="00714496">
        <w:rPr>
          <w:rFonts w:ascii="Arial" w:hAnsi="Arial" w:cs="Arial"/>
        </w:rPr>
        <w:t>like</w:t>
      </w:r>
      <w:r w:rsidRPr="00714496">
        <w:rPr>
          <w:rFonts w:ascii="Arial" w:hAnsi="Arial" w:cs="Arial"/>
        </w:rPr>
        <w:t xml:space="preserve"> that described in this </w:t>
      </w:r>
      <w:r w:rsidR="00537940" w:rsidRPr="00714496">
        <w:rPr>
          <w:rFonts w:ascii="Arial" w:hAnsi="Arial" w:cs="Arial"/>
        </w:rPr>
        <w:t>TOR.</w:t>
      </w:r>
    </w:p>
    <w:p w14:paraId="65C8F069" w14:textId="65BB8D90" w:rsidR="007329D9" w:rsidRPr="00714496" w:rsidRDefault="004939C0" w:rsidP="00DB0188">
      <w:pPr>
        <w:pStyle w:val="ListParagraph"/>
        <w:numPr>
          <w:ilvl w:val="1"/>
          <w:numId w:val="4"/>
        </w:numPr>
        <w:spacing w:line="276" w:lineRule="auto"/>
        <w:jc w:val="both"/>
        <w:rPr>
          <w:rFonts w:ascii="Arial" w:hAnsi="Arial" w:cs="Arial"/>
        </w:rPr>
      </w:pPr>
      <w:r w:rsidRPr="00714496">
        <w:rPr>
          <w:rFonts w:ascii="Arial" w:hAnsi="Arial" w:cs="Arial"/>
        </w:rPr>
        <w:t xml:space="preserve">Application </w:t>
      </w:r>
      <w:r w:rsidR="00537940" w:rsidRPr="00714496">
        <w:rPr>
          <w:rFonts w:ascii="Arial" w:hAnsi="Arial" w:cs="Arial"/>
        </w:rPr>
        <w:t>materials</w:t>
      </w:r>
      <w:r w:rsidRPr="00714496">
        <w:rPr>
          <w:rFonts w:ascii="Arial" w:hAnsi="Arial" w:cs="Arial"/>
        </w:rPr>
        <w:t xml:space="preserve"> are non-returnable, and we thank you in advance for understanding that only short-listed candidates will be contacted for the next step in the application </w:t>
      </w:r>
      <w:r w:rsidR="00020CCC" w:rsidRPr="00714496">
        <w:rPr>
          <w:rFonts w:ascii="Arial" w:hAnsi="Arial" w:cs="Arial"/>
        </w:rPr>
        <w:t>process.</w:t>
      </w:r>
    </w:p>
    <w:sectPr w:rsidR="007329D9" w:rsidRPr="00714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FE581" w14:textId="77777777" w:rsidR="00565951" w:rsidRDefault="00565951" w:rsidP="00EA624F">
      <w:pPr>
        <w:spacing w:after="0" w:line="240" w:lineRule="auto"/>
      </w:pPr>
      <w:r>
        <w:separator/>
      </w:r>
    </w:p>
  </w:endnote>
  <w:endnote w:type="continuationSeparator" w:id="0">
    <w:p w14:paraId="3B24CAA1" w14:textId="77777777" w:rsidR="00565951" w:rsidRDefault="00565951" w:rsidP="00EA624F">
      <w:pPr>
        <w:spacing w:after="0" w:line="240" w:lineRule="auto"/>
      </w:pPr>
      <w:r>
        <w:continuationSeparator/>
      </w:r>
    </w:p>
  </w:endnote>
  <w:endnote w:type="continuationNotice" w:id="1">
    <w:p w14:paraId="4435ADDA" w14:textId="77777777" w:rsidR="00565951" w:rsidRDefault="00565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2FA3F" w14:textId="77777777" w:rsidR="00565951" w:rsidRDefault="00565951" w:rsidP="00EA624F">
      <w:pPr>
        <w:spacing w:after="0" w:line="240" w:lineRule="auto"/>
      </w:pPr>
      <w:r>
        <w:separator/>
      </w:r>
    </w:p>
  </w:footnote>
  <w:footnote w:type="continuationSeparator" w:id="0">
    <w:p w14:paraId="2E1B9295" w14:textId="77777777" w:rsidR="00565951" w:rsidRDefault="00565951" w:rsidP="00EA624F">
      <w:pPr>
        <w:spacing w:after="0" w:line="240" w:lineRule="auto"/>
      </w:pPr>
      <w:r>
        <w:continuationSeparator/>
      </w:r>
    </w:p>
  </w:footnote>
  <w:footnote w:type="continuationNotice" w:id="1">
    <w:p w14:paraId="2A7069C7" w14:textId="77777777" w:rsidR="00565951" w:rsidRDefault="005659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42FE0"/>
    <w:multiLevelType w:val="hybridMultilevel"/>
    <w:tmpl w:val="A736757C"/>
    <w:lvl w:ilvl="0" w:tplc="FB50E01E">
      <w:start w:val="1"/>
      <w:numFmt w:val="lowerLetter"/>
      <w:lvlText w:val="%1)"/>
      <w:lvlJc w:val="left"/>
      <w:pPr>
        <w:ind w:left="18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6055DD"/>
    <w:multiLevelType w:val="hybridMultilevel"/>
    <w:tmpl w:val="6CA2F0E0"/>
    <w:lvl w:ilvl="0" w:tplc="4CA81D04">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66373"/>
    <w:multiLevelType w:val="hybridMultilevel"/>
    <w:tmpl w:val="18F006F6"/>
    <w:lvl w:ilvl="0" w:tplc="61BCE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392DC6"/>
    <w:multiLevelType w:val="hybridMultilevel"/>
    <w:tmpl w:val="940CFBBE"/>
    <w:lvl w:ilvl="0" w:tplc="D39EFB3A">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E7173"/>
    <w:multiLevelType w:val="hybridMultilevel"/>
    <w:tmpl w:val="19E256C4"/>
    <w:lvl w:ilvl="0" w:tplc="FB50E01E">
      <w:start w:val="1"/>
      <w:numFmt w:val="lowerLetter"/>
      <w:lvlText w:val="%1)"/>
      <w:lvlJc w:val="left"/>
      <w:pPr>
        <w:ind w:left="2880" w:hanging="720"/>
      </w:pPr>
      <w:rPr>
        <w:rFonts w:hint="default"/>
      </w:rPr>
    </w:lvl>
    <w:lvl w:ilvl="1" w:tplc="1E341AA4">
      <w:start w:val="1"/>
      <w:numFmt w:val="decimal"/>
      <w:lvlText w:val="%2."/>
      <w:lvlJc w:val="left"/>
      <w:pPr>
        <w:ind w:left="720" w:hanging="720"/>
      </w:pPr>
      <w:rPr>
        <w:rFonts w:hint="default"/>
        <w:b/>
        <w:bCs/>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641B2784"/>
    <w:multiLevelType w:val="hybridMultilevel"/>
    <w:tmpl w:val="18F006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1977398"/>
    <w:multiLevelType w:val="hybridMultilevel"/>
    <w:tmpl w:val="49827AD4"/>
    <w:lvl w:ilvl="0" w:tplc="D39EFB3A">
      <w:numFmt w:val="bullet"/>
      <w:lvlText w:val="-"/>
      <w:lvlJc w:val="left"/>
      <w:pPr>
        <w:ind w:left="54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3375510">
    <w:abstractNumId w:val="6"/>
  </w:num>
  <w:num w:numId="2" w16cid:durableId="680816573">
    <w:abstractNumId w:val="4"/>
  </w:num>
  <w:num w:numId="3" w16cid:durableId="1586955118">
    <w:abstractNumId w:val="3"/>
  </w:num>
  <w:num w:numId="4" w16cid:durableId="187723774">
    <w:abstractNumId w:val="0"/>
  </w:num>
  <w:num w:numId="5" w16cid:durableId="710770263">
    <w:abstractNumId w:val="1"/>
  </w:num>
  <w:num w:numId="6" w16cid:durableId="1875458619">
    <w:abstractNumId w:val="2"/>
  </w:num>
  <w:num w:numId="7" w16cid:durableId="102035613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0F"/>
    <w:rsid w:val="0000195F"/>
    <w:rsid w:val="000023A2"/>
    <w:rsid w:val="00012796"/>
    <w:rsid w:val="00016B33"/>
    <w:rsid w:val="00020CCC"/>
    <w:rsid w:val="00021640"/>
    <w:rsid w:val="00021ACA"/>
    <w:rsid w:val="00035723"/>
    <w:rsid w:val="00046B94"/>
    <w:rsid w:val="00047AF0"/>
    <w:rsid w:val="00050305"/>
    <w:rsid w:val="00055779"/>
    <w:rsid w:val="00055822"/>
    <w:rsid w:val="000559D7"/>
    <w:rsid w:val="00066BDD"/>
    <w:rsid w:val="000673F8"/>
    <w:rsid w:val="00070E1F"/>
    <w:rsid w:val="000716FA"/>
    <w:rsid w:val="000925DC"/>
    <w:rsid w:val="00096276"/>
    <w:rsid w:val="000B5BCF"/>
    <w:rsid w:val="000B69E4"/>
    <w:rsid w:val="000C286B"/>
    <w:rsid w:val="000C3FC8"/>
    <w:rsid w:val="000E04A4"/>
    <w:rsid w:val="000E17B0"/>
    <w:rsid w:val="000E4DC1"/>
    <w:rsid w:val="000E7024"/>
    <w:rsid w:val="00101317"/>
    <w:rsid w:val="00102D1C"/>
    <w:rsid w:val="00112565"/>
    <w:rsid w:val="00120EF9"/>
    <w:rsid w:val="00130DB7"/>
    <w:rsid w:val="00141149"/>
    <w:rsid w:val="00155B14"/>
    <w:rsid w:val="00157E90"/>
    <w:rsid w:val="00164360"/>
    <w:rsid w:val="00165B14"/>
    <w:rsid w:val="00192960"/>
    <w:rsid w:val="00193466"/>
    <w:rsid w:val="00194F06"/>
    <w:rsid w:val="001B62B0"/>
    <w:rsid w:val="001C30D1"/>
    <w:rsid w:val="001D02BD"/>
    <w:rsid w:val="001D2962"/>
    <w:rsid w:val="001D47ED"/>
    <w:rsid w:val="001D571B"/>
    <w:rsid w:val="001D64B4"/>
    <w:rsid w:val="001E64E6"/>
    <w:rsid w:val="001F2C8F"/>
    <w:rsid w:val="0020274C"/>
    <w:rsid w:val="00217F8A"/>
    <w:rsid w:val="00230344"/>
    <w:rsid w:val="00237BD1"/>
    <w:rsid w:val="00245273"/>
    <w:rsid w:val="002504F7"/>
    <w:rsid w:val="0025530F"/>
    <w:rsid w:val="00255969"/>
    <w:rsid w:val="00256F92"/>
    <w:rsid w:val="0026104C"/>
    <w:rsid w:val="002627C6"/>
    <w:rsid w:val="002634C8"/>
    <w:rsid w:val="00270327"/>
    <w:rsid w:val="002842B5"/>
    <w:rsid w:val="00290240"/>
    <w:rsid w:val="0029572F"/>
    <w:rsid w:val="002A3C75"/>
    <w:rsid w:val="002B7FF8"/>
    <w:rsid w:val="002C216F"/>
    <w:rsid w:val="002D289D"/>
    <w:rsid w:val="002D4DBA"/>
    <w:rsid w:val="002E1067"/>
    <w:rsid w:val="002E1F80"/>
    <w:rsid w:val="002F13B5"/>
    <w:rsid w:val="002F3E22"/>
    <w:rsid w:val="00304918"/>
    <w:rsid w:val="0030501A"/>
    <w:rsid w:val="0030631F"/>
    <w:rsid w:val="003238E2"/>
    <w:rsid w:val="00324DA9"/>
    <w:rsid w:val="00340124"/>
    <w:rsid w:val="003455D3"/>
    <w:rsid w:val="00347397"/>
    <w:rsid w:val="00356F3E"/>
    <w:rsid w:val="003613C8"/>
    <w:rsid w:val="00365B5F"/>
    <w:rsid w:val="003676D3"/>
    <w:rsid w:val="003726AF"/>
    <w:rsid w:val="00374486"/>
    <w:rsid w:val="003844CC"/>
    <w:rsid w:val="0039331E"/>
    <w:rsid w:val="003A1145"/>
    <w:rsid w:val="003A7BE7"/>
    <w:rsid w:val="003B1036"/>
    <w:rsid w:val="003B487A"/>
    <w:rsid w:val="003C0660"/>
    <w:rsid w:val="003C169C"/>
    <w:rsid w:val="003D27FF"/>
    <w:rsid w:val="003E241D"/>
    <w:rsid w:val="003E3685"/>
    <w:rsid w:val="003E7192"/>
    <w:rsid w:val="00400E32"/>
    <w:rsid w:val="00402CE3"/>
    <w:rsid w:val="00410503"/>
    <w:rsid w:val="00415F0F"/>
    <w:rsid w:val="00417C0C"/>
    <w:rsid w:val="0042457D"/>
    <w:rsid w:val="0042735C"/>
    <w:rsid w:val="00442913"/>
    <w:rsid w:val="004444E8"/>
    <w:rsid w:val="00450294"/>
    <w:rsid w:val="00464FA6"/>
    <w:rsid w:val="00467A98"/>
    <w:rsid w:val="004939C0"/>
    <w:rsid w:val="004A3C05"/>
    <w:rsid w:val="004C5354"/>
    <w:rsid w:val="004C6C6C"/>
    <w:rsid w:val="004D0DD4"/>
    <w:rsid w:val="004D283E"/>
    <w:rsid w:val="004D2FD4"/>
    <w:rsid w:val="004D4258"/>
    <w:rsid w:val="004D5162"/>
    <w:rsid w:val="004D5B4A"/>
    <w:rsid w:val="004F36F5"/>
    <w:rsid w:val="004F7B85"/>
    <w:rsid w:val="00502F3E"/>
    <w:rsid w:val="00506673"/>
    <w:rsid w:val="005074FD"/>
    <w:rsid w:val="005076D5"/>
    <w:rsid w:val="005111EF"/>
    <w:rsid w:val="005137E0"/>
    <w:rsid w:val="00531147"/>
    <w:rsid w:val="00537940"/>
    <w:rsid w:val="00550183"/>
    <w:rsid w:val="005547A5"/>
    <w:rsid w:val="00557D97"/>
    <w:rsid w:val="0056320D"/>
    <w:rsid w:val="00565951"/>
    <w:rsid w:val="005667FE"/>
    <w:rsid w:val="00576772"/>
    <w:rsid w:val="005902F9"/>
    <w:rsid w:val="0059589E"/>
    <w:rsid w:val="005C23E7"/>
    <w:rsid w:val="005D5A1B"/>
    <w:rsid w:val="005E0573"/>
    <w:rsid w:val="005E4C69"/>
    <w:rsid w:val="005E79B4"/>
    <w:rsid w:val="005F2933"/>
    <w:rsid w:val="005F6AAA"/>
    <w:rsid w:val="00607099"/>
    <w:rsid w:val="00611D18"/>
    <w:rsid w:val="006158B8"/>
    <w:rsid w:val="00620069"/>
    <w:rsid w:val="00630F45"/>
    <w:rsid w:val="00636047"/>
    <w:rsid w:val="00646CDA"/>
    <w:rsid w:val="0065140B"/>
    <w:rsid w:val="006515FA"/>
    <w:rsid w:val="006543EC"/>
    <w:rsid w:val="00672650"/>
    <w:rsid w:val="006A16C4"/>
    <w:rsid w:val="006A17B3"/>
    <w:rsid w:val="006A3E46"/>
    <w:rsid w:val="006B6052"/>
    <w:rsid w:val="006B7176"/>
    <w:rsid w:val="006B7E42"/>
    <w:rsid w:val="006C387B"/>
    <w:rsid w:val="006C4D05"/>
    <w:rsid w:val="006E5F72"/>
    <w:rsid w:val="006F117E"/>
    <w:rsid w:val="007050F6"/>
    <w:rsid w:val="00710589"/>
    <w:rsid w:val="00714496"/>
    <w:rsid w:val="00716573"/>
    <w:rsid w:val="00722698"/>
    <w:rsid w:val="00724B29"/>
    <w:rsid w:val="0072503A"/>
    <w:rsid w:val="00725721"/>
    <w:rsid w:val="007329D9"/>
    <w:rsid w:val="00741CB7"/>
    <w:rsid w:val="007563A9"/>
    <w:rsid w:val="00757E9F"/>
    <w:rsid w:val="00765190"/>
    <w:rsid w:val="007741E6"/>
    <w:rsid w:val="0077687C"/>
    <w:rsid w:val="007838C0"/>
    <w:rsid w:val="0078435E"/>
    <w:rsid w:val="007973D2"/>
    <w:rsid w:val="007A4FC2"/>
    <w:rsid w:val="007D605D"/>
    <w:rsid w:val="007F6120"/>
    <w:rsid w:val="00803A75"/>
    <w:rsid w:val="00804185"/>
    <w:rsid w:val="00822522"/>
    <w:rsid w:val="00823311"/>
    <w:rsid w:val="008242F3"/>
    <w:rsid w:val="0082494D"/>
    <w:rsid w:val="008309AD"/>
    <w:rsid w:val="008321F9"/>
    <w:rsid w:val="00834B7D"/>
    <w:rsid w:val="00840C45"/>
    <w:rsid w:val="008431C4"/>
    <w:rsid w:val="00846D54"/>
    <w:rsid w:val="00846D5C"/>
    <w:rsid w:val="008515AB"/>
    <w:rsid w:val="008523D8"/>
    <w:rsid w:val="00871F97"/>
    <w:rsid w:val="008772B7"/>
    <w:rsid w:val="00881965"/>
    <w:rsid w:val="00890820"/>
    <w:rsid w:val="008921A3"/>
    <w:rsid w:val="008A2707"/>
    <w:rsid w:val="008B2B9F"/>
    <w:rsid w:val="008C4E74"/>
    <w:rsid w:val="008C67DC"/>
    <w:rsid w:val="008D2A4B"/>
    <w:rsid w:val="008E3270"/>
    <w:rsid w:val="008F5FC4"/>
    <w:rsid w:val="008F738D"/>
    <w:rsid w:val="009042ED"/>
    <w:rsid w:val="0091477D"/>
    <w:rsid w:val="0091496C"/>
    <w:rsid w:val="00945495"/>
    <w:rsid w:val="00946F46"/>
    <w:rsid w:val="00952B89"/>
    <w:rsid w:val="00966EE0"/>
    <w:rsid w:val="0097349E"/>
    <w:rsid w:val="00977EC1"/>
    <w:rsid w:val="00984746"/>
    <w:rsid w:val="009866F0"/>
    <w:rsid w:val="0099490F"/>
    <w:rsid w:val="00994DAC"/>
    <w:rsid w:val="00997045"/>
    <w:rsid w:val="009A00AB"/>
    <w:rsid w:val="009A4888"/>
    <w:rsid w:val="009A5602"/>
    <w:rsid w:val="009A79A7"/>
    <w:rsid w:val="009B4931"/>
    <w:rsid w:val="009C1D85"/>
    <w:rsid w:val="009C4BEB"/>
    <w:rsid w:val="009D6771"/>
    <w:rsid w:val="009D7E24"/>
    <w:rsid w:val="009E54CF"/>
    <w:rsid w:val="009F608A"/>
    <w:rsid w:val="00A04926"/>
    <w:rsid w:val="00A10454"/>
    <w:rsid w:val="00A10F9C"/>
    <w:rsid w:val="00A119F8"/>
    <w:rsid w:val="00A169EC"/>
    <w:rsid w:val="00A32321"/>
    <w:rsid w:val="00A37256"/>
    <w:rsid w:val="00A562A3"/>
    <w:rsid w:val="00A65D14"/>
    <w:rsid w:val="00A816EF"/>
    <w:rsid w:val="00A87575"/>
    <w:rsid w:val="00A93B9A"/>
    <w:rsid w:val="00A94F37"/>
    <w:rsid w:val="00A9505A"/>
    <w:rsid w:val="00A97984"/>
    <w:rsid w:val="00AA30D3"/>
    <w:rsid w:val="00AA4B0F"/>
    <w:rsid w:val="00AA54C8"/>
    <w:rsid w:val="00AC068C"/>
    <w:rsid w:val="00AC1AF6"/>
    <w:rsid w:val="00AC3ECC"/>
    <w:rsid w:val="00AE716B"/>
    <w:rsid w:val="00AF192A"/>
    <w:rsid w:val="00B1481F"/>
    <w:rsid w:val="00B17BA0"/>
    <w:rsid w:val="00B23FF3"/>
    <w:rsid w:val="00B34B09"/>
    <w:rsid w:val="00B34C40"/>
    <w:rsid w:val="00B35DD7"/>
    <w:rsid w:val="00B4617E"/>
    <w:rsid w:val="00B466BC"/>
    <w:rsid w:val="00B504A0"/>
    <w:rsid w:val="00B52283"/>
    <w:rsid w:val="00B57DA4"/>
    <w:rsid w:val="00B60FC8"/>
    <w:rsid w:val="00B616D2"/>
    <w:rsid w:val="00B61CBA"/>
    <w:rsid w:val="00B646E4"/>
    <w:rsid w:val="00B65819"/>
    <w:rsid w:val="00B85BFD"/>
    <w:rsid w:val="00BB2A73"/>
    <w:rsid w:val="00BC351F"/>
    <w:rsid w:val="00BC7A5E"/>
    <w:rsid w:val="00BF24C9"/>
    <w:rsid w:val="00C03617"/>
    <w:rsid w:val="00C068E4"/>
    <w:rsid w:val="00C10774"/>
    <w:rsid w:val="00C23CA6"/>
    <w:rsid w:val="00C25F87"/>
    <w:rsid w:val="00C27F2C"/>
    <w:rsid w:val="00C312C8"/>
    <w:rsid w:val="00C37635"/>
    <w:rsid w:val="00C41908"/>
    <w:rsid w:val="00C5198B"/>
    <w:rsid w:val="00C52CF6"/>
    <w:rsid w:val="00C66AEB"/>
    <w:rsid w:val="00C75B4F"/>
    <w:rsid w:val="00C84190"/>
    <w:rsid w:val="00C85970"/>
    <w:rsid w:val="00C954EF"/>
    <w:rsid w:val="00CA7CED"/>
    <w:rsid w:val="00CC283F"/>
    <w:rsid w:val="00CC360A"/>
    <w:rsid w:val="00CC37E9"/>
    <w:rsid w:val="00CE22FB"/>
    <w:rsid w:val="00CF010F"/>
    <w:rsid w:val="00D03A4B"/>
    <w:rsid w:val="00D062ED"/>
    <w:rsid w:val="00D13F16"/>
    <w:rsid w:val="00D14D97"/>
    <w:rsid w:val="00D513A8"/>
    <w:rsid w:val="00D5278E"/>
    <w:rsid w:val="00D53793"/>
    <w:rsid w:val="00D72058"/>
    <w:rsid w:val="00D73FB0"/>
    <w:rsid w:val="00D80DCB"/>
    <w:rsid w:val="00D954F2"/>
    <w:rsid w:val="00DA032E"/>
    <w:rsid w:val="00DA2805"/>
    <w:rsid w:val="00DA66B6"/>
    <w:rsid w:val="00DB0188"/>
    <w:rsid w:val="00DB33E1"/>
    <w:rsid w:val="00DB4784"/>
    <w:rsid w:val="00DB4EBA"/>
    <w:rsid w:val="00DB6C03"/>
    <w:rsid w:val="00DB7DAC"/>
    <w:rsid w:val="00DE79D2"/>
    <w:rsid w:val="00DE7B2E"/>
    <w:rsid w:val="00DF09BC"/>
    <w:rsid w:val="00E013E6"/>
    <w:rsid w:val="00E107C8"/>
    <w:rsid w:val="00E115D3"/>
    <w:rsid w:val="00E24438"/>
    <w:rsid w:val="00E24F4E"/>
    <w:rsid w:val="00E36F85"/>
    <w:rsid w:val="00E44FB4"/>
    <w:rsid w:val="00E51C94"/>
    <w:rsid w:val="00E81A86"/>
    <w:rsid w:val="00E91AE0"/>
    <w:rsid w:val="00E94629"/>
    <w:rsid w:val="00EA2699"/>
    <w:rsid w:val="00EA50A2"/>
    <w:rsid w:val="00EA624F"/>
    <w:rsid w:val="00EB0080"/>
    <w:rsid w:val="00EB06A9"/>
    <w:rsid w:val="00EB3B59"/>
    <w:rsid w:val="00EC4E98"/>
    <w:rsid w:val="00ED2697"/>
    <w:rsid w:val="00EE40C5"/>
    <w:rsid w:val="00EE4E0E"/>
    <w:rsid w:val="00EE5AC5"/>
    <w:rsid w:val="00EE7852"/>
    <w:rsid w:val="00EF2181"/>
    <w:rsid w:val="00EF7434"/>
    <w:rsid w:val="00F012B0"/>
    <w:rsid w:val="00F0260C"/>
    <w:rsid w:val="00F0506A"/>
    <w:rsid w:val="00F06E19"/>
    <w:rsid w:val="00F12D22"/>
    <w:rsid w:val="00F15AEF"/>
    <w:rsid w:val="00F2100B"/>
    <w:rsid w:val="00F21026"/>
    <w:rsid w:val="00F25922"/>
    <w:rsid w:val="00F46E50"/>
    <w:rsid w:val="00F47FE5"/>
    <w:rsid w:val="00F64590"/>
    <w:rsid w:val="00F85DE5"/>
    <w:rsid w:val="00F94B79"/>
    <w:rsid w:val="00F95055"/>
    <w:rsid w:val="00F96D23"/>
    <w:rsid w:val="00FA13C4"/>
    <w:rsid w:val="00FA2F52"/>
    <w:rsid w:val="00FC1BA7"/>
    <w:rsid w:val="00FC7155"/>
    <w:rsid w:val="00FD69EF"/>
    <w:rsid w:val="00FE1515"/>
    <w:rsid w:val="00FE1BCF"/>
    <w:rsid w:val="00FF1FAF"/>
    <w:rsid w:val="00FF64D5"/>
    <w:rsid w:val="00FF700C"/>
    <w:rsid w:val="014B2A2E"/>
    <w:rsid w:val="02BB79BF"/>
    <w:rsid w:val="03A7B0F9"/>
    <w:rsid w:val="05558011"/>
    <w:rsid w:val="0824B4C9"/>
    <w:rsid w:val="0A46B72A"/>
    <w:rsid w:val="0F43AEA8"/>
    <w:rsid w:val="10B6F0D3"/>
    <w:rsid w:val="1400AA50"/>
    <w:rsid w:val="1486D591"/>
    <w:rsid w:val="14A4B841"/>
    <w:rsid w:val="16328C2E"/>
    <w:rsid w:val="170A07CE"/>
    <w:rsid w:val="1C10FB49"/>
    <w:rsid w:val="1D143E95"/>
    <w:rsid w:val="1D9897C0"/>
    <w:rsid w:val="1F563332"/>
    <w:rsid w:val="217B8B82"/>
    <w:rsid w:val="227EC0B3"/>
    <w:rsid w:val="22C2464A"/>
    <w:rsid w:val="23539E19"/>
    <w:rsid w:val="237AC81C"/>
    <w:rsid w:val="2424F9B5"/>
    <w:rsid w:val="28D02C3F"/>
    <w:rsid w:val="2CA94218"/>
    <w:rsid w:val="2E147B9D"/>
    <w:rsid w:val="2EF7298E"/>
    <w:rsid w:val="302E9477"/>
    <w:rsid w:val="3078EBB2"/>
    <w:rsid w:val="316FA061"/>
    <w:rsid w:val="33C0D247"/>
    <w:rsid w:val="3500B910"/>
    <w:rsid w:val="3587F240"/>
    <w:rsid w:val="38EEF5FE"/>
    <w:rsid w:val="39469899"/>
    <w:rsid w:val="39F9ED2F"/>
    <w:rsid w:val="3A14C4F3"/>
    <w:rsid w:val="3A473F52"/>
    <w:rsid w:val="3B0588C9"/>
    <w:rsid w:val="3C8CBDD8"/>
    <w:rsid w:val="3CFB83EE"/>
    <w:rsid w:val="3F539064"/>
    <w:rsid w:val="401AE262"/>
    <w:rsid w:val="4036B240"/>
    <w:rsid w:val="407F072E"/>
    <w:rsid w:val="410BFFE0"/>
    <w:rsid w:val="429DDDB9"/>
    <w:rsid w:val="459A528B"/>
    <w:rsid w:val="47972453"/>
    <w:rsid w:val="47DBF7EE"/>
    <w:rsid w:val="49693F28"/>
    <w:rsid w:val="4B6F16A8"/>
    <w:rsid w:val="4ED5240A"/>
    <w:rsid w:val="50001A68"/>
    <w:rsid w:val="500CECF8"/>
    <w:rsid w:val="505B6B2F"/>
    <w:rsid w:val="50A29B78"/>
    <w:rsid w:val="558B29AB"/>
    <w:rsid w:val="55EC3CBB"/>
    <w:rsid w:val="57E34560"/>
    <w:rsid w:val="581922EE"/>
    <w:rsid w:val="592A64A5"/>
    <w:rsid w:val="5ADCDFD7"/>
    <w:rsid w:val="5F69248D"/>
    <w:rsid w:val="62AF27A2"/>
    <w:rsid w:val="648E89C0"/>
    <w:rsid w:val="66615894"/>
    <w:rsid w:val="68C33C7D"/>
    <w:rsid w:val="69812FB8"/>
    <w:rsid w:val="6ACB9051"/>
    <w:rsid w:val="6D5BAD7F"/>
    <w:rsid w:val="6DC52623"/>
    <w:rsid w:val="6DC663ED"/>
    <w:rsid w:val="6FCDD7FB"/>
    <w:rsid w:val="702C5E04"/>
    <w:rsid w:val="722CA643"/>
    <w:rsid w:val="73D0398D"/>
    <w:rsid w:val="770376E4"/>
    <w:rsid w:val="78801641"/>
    <w:rsid w:val="7886D017"/>
    <w:rsid w:val="78CD2070"/>
    <w:rsid w:val="7C64832A"/>
    <w:rsid w:val="7D3580B1"/>
    <w:rsid w:val="7FC583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B4A6D"/>
  <w15:chartTrackingRefBased/>
  <w15:docId w15:val="{C38F4147-2DAA-4625-9993-5D91EDE7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4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94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49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49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49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49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49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49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49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9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949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49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49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49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49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49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49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490F"/>
    <w:rPr>
      <w:rFonts w:eastAsiaTheme="majorEastAsia" w:cstheme="majorBidi"/>
      <w:color w:val="272727" w:themeColor="text1" w:themeTint="D8"/>
    </w:rPr>
  </w:style>
  <w:style w:type="paragraph" w:styleId="Title">
    <w:name w:val="Title"/>
    <w:basedOn w:val="Normal"/>
    <w:next w:val="Normal"/>
    <w:link w:val="TitleChar"/>
    <w:uiPriority w:val="10"/>
    <w:qFormat/>
    <w:rsid w:val="00994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9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49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49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490F"/>
    <w:pPr>
      <w:spacing w:before="160"/>
      <w:jc w:val="center"/>
    </w:pPr>
    <w:rPr>
      <w:i/>
      <w:iCs/>
      <w:color w:val="404040" w:themeColor="text1" w:themeTint="BF"/>
    </w:rPr>
  </w:style>
  <w:style w:type="character" w:customStyle="1" w:styleId="QuoteChar">
    <w:name w:val="Quote Char"/>
    <w:basedOn w:val="DefaultParagraphFont"/>
    <w:link w:val="Quote"/>
    <w:uiPriority w:val="29"/>
    <w:rsid w:val="0099490F"/>
    <w:rPr>
      <w:i/>
      <w:iCs/>
      <w:color w:val="404040" w:themeColor="text1" w:themeTint="BF"/>
    </w:rPr>
  </w:style>
  <w:style w:type="paragraph" w:styleId="ListParagraph">
    <w:name w:val="List Paragraph"/>
    <w:basedOn w:val="Normal"/>
    <w:uiPriority w:val="34"/>
    <w:qFormat/>
    <w:rsid w:val="0099490F"/>
    <w:pPr>
      <w:ind w:left="720"/>
      <w:contextualSpacing/>
    </w:pPr>
  </w:style>
  <w:style w:type="character" w:styleId="IntenseEmphasis">
    <w:name w:val="Intense Emphasis"/>
    <w:basedOn w:val="DefaultParagraphFont"/>
    <w:uiPriority w:val="21"/>
    <w:qFormat/>
    <w:rsid w:val="0099490F"/>
    <w:rPr>
      <w:i/>
      <w:iCs/>
      <w:color w:val="0F4761" w:themeColor="accent1" w:themeShade="BF"/>
    </w:rPr>
  </w:style>
  <w:style w:type="paragraph" w:styleId="IntenseQuote">
    <w:name w:val="Intense Quote"/>
    <w:basedOn w:val="Normal"/>
    <w:next w:val="Normal"/>
    <w:link w:val="IntenseQuoteChar"/>
    <w:uiPriority w:val="30"/>
    <w:qFormat/>
    <w:rsid w:val="00994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490F"/>
    <w:rPr>
      <w:i/>
      <w:iCs/>
      <w:color w:val="0F4761" w:themeColor="accent1" w:themeShade="BF"/>
    </w:rPr>
  </w:style>
  <w:style w:type="character" w:styleId="IntenseReference">
    <w:name w:val="Intense Reference"/>
    <w:basedOn w:val="DefaultParagraphFont"/>
    <w:uiPriority w:val="32"/>
    <w:qFormat/>
    <w:rsid w:val="0099490F"/>
    <w:rPr>
      <w:b/>
      <w:bCs/>
      <w:smallCaps/>
      <w:color w:val="0F4761" w:themeColor="accent1" w:themeShade="BF"/>
      <w:spacing w:val="5"/>
    </w:rPr>
  </w:style>
  <w:style w:type="paragraph" w:styleId="FootnoteText">
    <w:name w:val="footnote text"/>
    <w:basedOn w:val="Normal"/>
    <w:link w:val="FootnoteTextChar"/>
    <w:uiPriority w:val="99"/>
    <w:semiHidden/>
    <w:unhideWhenUsed/>
    <w:rsid w:val="00EA6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624F"/>
    <w:rPr>
      <w:sz w:val="20"/>
      <w:szCs w:val="20"/>
    </w:rPr>
  </w:style>
  <w:style w:type="character" w:styleId="FootnoteReference">
    <w:name w:val="footnote reference"/>
    <w:basedOn w:val="DefaultParagraphFont"/>
    <w:uiPriority w:val="99"/>
    <w:semiHidden/>
    <w:unhideWhenUsed/>
    <w:rsid w:val="00EA624F"/>
    <w:rPr>
      <w:vertAlign w:val="superscript"/>
    </w:rPr>
  </w:style>
  <w:style w:type="character" w:styleId="Hyperlink">
    <w:name w:val="Hyperlink"/>
    <w:basedOn w:val="DefaultParagraphFont"/>
    <w:uiPriority w:val="99"/>
    <w:unhideWhenUsed/>
    <w:rsid w:val="00EA624F"/>
    <w:rPr>
      <w:color w:val="467886" w:themeColor="hyperlink"/>
      <w:u w:val="single"/>
    </w:rPr>
  </w:style>
  <w:style w:type="character" w:styleId="UnresolvedMention">
    <w:name w:val="Unresolved Mention"/>
    <w:basedOn w:val="DefaultParagraphFont"/>
    <w:uiPriority w:val="99"/>
    <w:semiHidden/>
    <w:unhideWhenUsed/>
    <w:rsid w:val="00EA624F"/>
    <w:rPr>
      <w:color w:val="605E5C"/>
      <w:shd w:val="clear" w:color="auto" w:fill="E1DFDD"/>
    </w:rPr>
  </w:style>
  <w:style w:type="paragraph" w:styleId="Revision">
    <w:name w:val="Revision"/>
    <w:hidden/>
    <w:uiPriority w:val="99"/>
    <w:semiHidden/>
    <w:rsid w:val="00A9505A"/>
    <w:pPr>
      <w:spacing w:after="0" w:line="240" w:lineRule="auto"/>
    </w:pPr>
  </w:style>
  <w:style w:type="character" w:styleId="CommentReference">
    <w:name w:val="annotation reference"/>
    <w:basedOn w:val="DefaultParagraphFont"/>
    <w:uiPriority w:val="99"/>
    <w:semiHidden/>
    <w:unhideWhenUsed/>
    <w:rsid w:val="004D5162"/>
    <w:rPr>
      <w:sz w:val="16"/>
      <w:szCs w:val="16"/>
    </w:rPr>
  </w:style>
  <w:style w:type="paragraph" w:styleId="CommentText">
    <w:name w:val="annotation text"/>
    <w:basedOn w:val="Normal"/>
    <w:link w:val="CommentTextChar"/>
    <w:uiPriority w:val="99"/>
    <w:unhideWhenUsed/>
    <w:rsid w:val="004D5162"/>
    <w:pPr>
      <w:spacing w:line="240" w:lineRule="auto"/>
    </w:pPr>
    <w:rPr>
      <w:sz w:val="20"/>
      <w:szCs w:val="20"/>
    </w:rPr>
  </w:style>
  <w:style w:type="character" w:customStyle="1" w:styleId="CommentTextChar">
    <w:name w:val="Comment Text Char"/>
    <w:basedOn w:val="DefaultParagraphFont"/>
    <w:link w:val="CommentText"/>
    <w:uiPriority w:val="99"/>
    <w:rsid w:val="004D5162"/>
    <w:rPr>
      <w:sz w:val="20"/>
      <w:szCs w:val="20"/>
    </w:rPr>
  </w:style>
  <w:style w:type="paragraph" w:styleId="CommentSubject">
    <w:name w:val="annotation subject"/>
    <w:basedOn w:val="CommentText"/>
    <w:next w:val="CommentText"/>
    <w:link w:val="CommentSubjectChar"/>
    <w:uiPriority w:val="99"/>
    <w:semiHidden/>
    <w:unhideWhenUsed/>
    <w:rsid w:val="004D5162"/>
    <w:rPr>
      <w:b/>
      <w:bCs/>
    </w:rPr>
  </w:style>
  <w:style w:type="character" w:customStyle="1" w:styleId="CommentSubjectChar">
    <w:name w:val="Comment Subject Char"/>
    <w:basedOn w:val="CommentTextChar"/>
    <w:link w:val="CommentSubject"/>
    <w:uiPriority w:val="99"/>
    <w:semiHidden/>
    <w:rsid w:val="004D5162"/>
    <w:rPr>
      <w:b/>
      <w:bCs/>
      <w:sz w:val="20"/>
      <w:szCs w:val="20"/>
    </w:rPr>
  </w:style>
  <w:style w:type="paragraph" w:customStyle="1" w:styleId="pf0">
    <w:name w:val="pf0"/>
    <w:basedOn w:val="Normal"/>
    <w:rsid w:val="00846D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846D54"/>
    <w:rPr>
      <w:rFonts w:ascii="Segoe UI" w:hAnsi="Segoe UI" w:cs="Segoe UI" w:hint="default"/>
      <w:sz w:val="18"/>
      <w:szCs w:val="18"/>
    </w:rPr>
  </w:style>
  <w:style w:type="paragraph" w:styleId="NormalWeb">
    <w:name w:val="Normal (Web)"/>
    <w:basedOn w:val="Normal"/>
    <w:uiPriority w:val="99"/>
    <w:unhideWhenUsed/>
    <w:rsid w:val="00846D5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semiHidden/>
    <w:unhideWhenUsed/>
    <w:rsid w:val="00047A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7AF0"/>
  </w:style>
  <w:style w:type="paragraph" w:styleId="Footer">
    <w:name w:val="footer"/>
    <w:basedOn w:val="Normal"/>
    <w:link w:val="FooterChar"/>
    <w:uiPriority w:val="99"/>
    <w:semiHidden/>
    <w:unhideWhenUsed/>
    <w:rsid w:val="00047A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7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67314">
      <w:bodyDiv w:val="1"/>
      <w:marLeft w:val="0"/>
      <w:marRight w:val="0"/>
      <w:marTop w:val="0"/>
      <w:marBottom w:val="0"/>
      <w:divBdr>
        <w:top w:val="none" w:sz="0" w:space="0" w:color="auto"/>
        <w:left w:val="none" w:sz="0" w:space="0" w:color="auto"/>
        <w:bottom w:val="none" w:sz="0" w:space="0" w:color="auto"/>
        <w:right w:val="none" w:sz="0" w:space="0" w:color="auto"/>
      </w:divBdr>
    </w:div>
    <w:div w:id="307828349">
      <w:bodyDiv w:val="1"/>
      <w:marLeft w:val="0"/>
      <w:marRight w:val="0"/>
      <w:marTop w:val="0"/>
      <w:marBottom w:val="0"/>
      <w:divBdr>
        <w:top w:val="none" w:sz="0" w:space="0" w:color="auto"/>
        <w:left w:val="none" w:sz="0" w:space="0" w:color="auto"/>
        <w:bottom w:val="none" w:sz="0" w:space="0" w:color="auto"/>
        <w:right w:val="none" w:sz="0" w:space="0" w:color="auto"/>
      </w:divBdr>
    </w:div>
    <w:div w:id="434129960">
      <w:bodyDiv w:val="1"/>
      <w:marLeft w:val="0"/>
      <w:marRight w:val="0"/>
      <w:marTop w:val="0"/>
      <w:marBottom w:val="0"/>
      <w:divBdr>
        <w:top w:val="none" w:sz="0" w:space="0" w:color="auto"/>
        <w:left w:val="none" w:sz="0" w:space="0" w:color="auto"/>
        <w:bottom w:val="none" w:sz="0" w:space="0" w:color="auto"/>
        <w:right w:val="none" w:sz="0" w:space="0" w:color="auto"/>
      </w:divBdr>
    </w:div>
    <w:div w:id="467670764">
      <w:bodyDiv w:val="1"/>
      <w:marLeft w:val="0"/>
      <w:marRight w:val="0"/>
      <w:marTop w:val="0"/>
      <w:marBottom w:val="0"/>
      <w:divBdr>
        <w:top w:val="none" w:sz="0" w:space="0" w:color="auto"/>
        <w:left w:val="none" w:sz="0" w:space="0" w:color="auto"/>
        <w:bottom w:val="none" w:sz="0" w:space="0" w:color="auto"/>
        <w:right w:val="none" w:sz="0" w:space="0" w:color="auto"/>
      </w:divBdr>
    </w:div>
    <w:div w:id="565262310">
      <w:bodyDiv w:val="1"/>
      <w:marLeft w:val="0"/>
      <w:marRight w:val="0"/>
      <w:marTop w:val="0"/>
      <w:marBottom w:val="0"/>
      <w:divBdr>
        <w:top w:val="none" w:sz="0" w:space="0" w:color="auto"/>
        <w:left w:val="none" w:sz="0" w:space="0" w:color="auto"/>
        <w:bottom w:val="none" w:sz="0" w:space="0" w:color="auto"/>
        <w:right w:val="none" w:sz="0" w:space="0" w:color="auto"/>
      </w:divBdr>
    </w:div>
    <w:div w:id="611985341">
      <w:bodyDiv w:val="1"/>
      <w:marLeft w:val="0"/>
      <w:marRight w:val="0"/>
      <w:marTop w:val="0"/>
      <w:marBottom w:val="0"/>
      <w:divBdr>
        <w:top w:val="none" w:sz="0" w:space="0" w:color="auto"/>
        <w:left w:val="none" w:sz="0" w:space="0" w:color="auto"/>
        <w:bottom w:val="none" w:sz="0" w:space="0" w:color="auto"/>
        <w:right w:val="none" w:sz="0" w:space="0" w:color="auto"/>
      </w:divBdr>
    </w:div>
    <w:div w:id="649331054">
      <w:bodyDiv w:val="1"/>
      <w:marLeft w:val="0"/>
      <w:marRight w:val="0"/>
      <w:marTop w:val="0"/>
      <w:marBottom w:val="0"/>
      <w:divBdr>
        <w:top w:val="none" w:sz="0" w:space="0" w:color="auto"/>
        <w:left w:val="none" w:sz="0" w:space="0" w:color="auto"/>
        <w:bottom w:val="none" w:sz="0" w:space="0" w:color="auto"/>
        <w:right w:val="none" w:sz="0" w:space="0" w:color="auto"/>
      </w:divBdr>
    </w:div>
    <w:div w:id="694313548">
      <w:bodyDiv w:val="1"/>
      <w:marLeft w:val="0"/>
      <w:marRight w:val="0"/>
      <w:marTop w:val="0"/>
      <w:marBottom w:val="0"/>
      <w:divBdr>
        <w:top w:val="none" w:sz="0" w:space="0" w:color="auto"/>
        <w:left w:val="none" w:sz="0" w:space="0" w:color="auto"/>
        <w:bottom w:val="none" w:sz="0" w:space="0" w:color="auto"/>
        <w:right w:val="none" w:sz="0" w:space="0" w:color="auto"/>
      </w:divBdr>
    </w:div>
    <w:div w:id="816414453">
      <w:bodyDiv w:val="1"/>
      <w:marLeft w:val="0"/>
      <w:marRight w:val="0"/>
      <w:marTop w:val="0"/>
      <w:marBottom w:val="0"/>
      <w:divBdr>
        <w:top w:val="none" w:sz="0" w:space="0" w:color="auto"/>
        <w:left w:val="none" w:sz="0" w:space="0" w:color="auto"/>
        <w:bottom w:val="none" w:sz="0" w:space="0" w:color="auto"/>
        <w:right w:val="none" w:sz="0" w:space="0" w:color="auto"/>
      </w:divBdr>
    </w:div>
    <w:div w:id="856699420">
      <w:bodyDiv w:val="1"/>
      <w:marLeft w:val="0"/>
      <w:marRight w:val="0"/>
      <w:marTop w:val="0"/>
      <w:marBottom w:val="0"/>
      <w:divBdr>
        <w:top w:val="none" w:sz="0" w:space="0" w:color="auto"/>
        <w:left w:val="none" w:sz="0" w:space="0" w:color="auto"/>
        <w:bottom w:val="none" w:sz="0" w:space="0" w:color="auto"/>
        <w:right w:val="none" w:sz="0" w:space="0" w:color="auto"/>
      </w:divBdr>
    </w:div>
    <w:div w:id="878397314">
      <w:bodyDiv w:val="1"/>
      <w:marLeft w:val="0"/>
      <w:marRight w:val="0"/>
      <w:marTop w:val="0"/>
      <w:marBottom w:val="0"/>
      <w:divBdr>
        <w:top w:val="none" w:sz="0" w:space="0" w:color="auto"/>
        <w:left w:val="none" w:sz="0" w:space="0" w:color="auto"/>
        <w:bottom w:val="none" w:sz="0" w:space="0" w:color="auto"/>
        <w:right w:val="none" w:sz="0" w:space="0" w:color="auto"/>
      </w:divBdr>
    </w:div>
    <w:div w:id="896008715">
      <w:bodyDiv w:val="1"/>
      <w:marLeft w:val="0"/>
      <w:marRight w:val="0"/>
      <w:marTop w:val="0"/>
      <w:marBottom w:val="0"/>
      <w:divBdr>
        <w:top w:val="none" w:sz="0" w:space="0" w:color="auto"/>
        <w:left w:val="none" w:sz="0" w:space="0" w:color="auto"/>
        <w:bottom w:val="none" w:sz="0" w:space="0" w:color="auto"/>
        <w:right w:val="none" w:sz="0" w:space="0" w:color="auto"/>
      </w:divBdr>
    </w:div>
    <w:div w:id="984317648">
      <w:bodyDiv w:val="1"/>
      <w:marLeft w:val="0"/>
      <w:marRight w:val="0"/>
      <w:marTop w:val="0"/>
      <w:marBottom w:val="0"/>
      <w:divBdr>
        <w:top w:val="none" w:sz="0" w:space="0" w:color="auto"/>
        <w:left w:val="none" w:sz="0" w:space="0" w:color="auto"/>
        <w:bottom w:val="none" w:sz="0" w:space="0" w:color="auto"/>
        <w:right w:val="none" w:sz="0" w:space="0" w:color="auto"/>
      </w:divBdr>
    </w:div>
    <w:div w:id="987902561">
      <w:bodyDiv w:val="1"/>
      <w:marLeft w:val="0"/>
      <w:marRight w:val="0"/>
      <w:marTop w:val="0"/>
      <w:marBottom w:val="0"/>
      <w:divBdr>
        <w:top w:val="none" w:sz="0" w:space="0" w:color="auto"/>
        <w:left w:val="none" w:sz="0" w:space="0" w:color="auto"/>
        <w:bottom w:val="none" w:sz="0" w:space="0" w:color="auto"/>
        <w:right w:val="none" w:sz="0" w:space="0" w:color="auto"/>
      </w:divBdr>
    </w:div>
    <w:div w:id="1065841117">
      <w:bodyDiv w:val="1"/>
      <w:marLeft w:val="0"/>
      <w:marRight w:val="0"/>
      <w:marTop w:val="0"/>
      <w:marBottom w:val="0"/>
      <w:divBdr>
        <w:top w:val="none" w:sz="0" w:space="0" w:color="auto"/>
        <w:left w:val="none" w:sz="0" w:space="0" w:color="auto"/>
        <w:bottom w:val="none" w:sz="0" w:space="0" w:color="auto"/>
        <w:right w:val="none" w:sz="0" w:space="0" w:color="auto"/>
      </w:divBdr>
    </w:div>
    <w:div w:id="1083139714">
      <w:bodyDiv w:val="1"/>
      <w:marLeft w:val="0"/>
      <w:marRight w:val="0"/>
      <w:marTop w:val="0"/>
      <w:marBottom w:val="0"/>
      <w:divBdr>
        <w:top w:val="none" w:sz="0" w:space="0" w:color="auto"/>
        <w:left w:val="none" w:sz="0" w:space="0" w:color="auto"/>
        <w:bottom w:val="none" w:sz="0" w:space="0" w:color="auto"/>
        <w:right w:val="none" w:sz="0" w:space="0" w:color="auto"/>
      </w:divBdr>
    </w:div>
    <w:div w:id="1182667258">
      <w:bodyDiv w:val="1"/>
      <w:marLeft w:val="0"/>
      <w:marRight w:val="0"/>
      <w:marTop w:val="0"/>
      <w:marBottom w:val="0"/>
      <w:divBdr>
        <w:top w:val="none" w:sz="0" w:space="0" w:color="auto"/>
        <w:left w:val="none" w:sz="0" w:space="0" w:color="auto"/>
        <w:bottom w:val="none" w:sz="0" w:space="0" w:color="auto"/>
        <w:right w:val="none" w:sz="0" w:space="0" w:color="auto"/>
      </w:divBdr>
    </w:div>
    <w:div w:id="1396079544">
      <w:bodyDiv w:val="1"/>
      <w:marLeft w:val="0"/>
      <w:marRight w:val="0"/>
      <w:marTop w:val="0"/>
      <w:marBottom w:val="0"/>
      <w:divBdr>
        <w:top w:val="none" w:sz="0" w:space="0" w:color="auto"/>
        <w:left w:val="none" w:sz="0" w:space="0" w:color="auto"/>
        <w:bottom w:val="none" w:sz="0" w:space="0" w:color="auto"/>
        <w:right w:val="none" w:sz="0" w:space="0" w:color="auto"/>
      </w:divBdr>
      <w:divsChild>
        <w:div w:id="32661085">
          <w:marLeft w:val="0"/>
          <w:marRight w:val="0"/>
          <w:marTop w:val="0"/>
          <w:marBottom w:val="0"/>
          <w:divBdr>
            <w:top w:val="none" w:sz="0" w:space="0" w:color="auto"/>
            <w:left w:val="none" w:sz="0" w:space="0" w:color="auto"/>
            <w:bottom w:val="none" w:sz="0" w:space="0" w:color="auto"/>
            <w:right w:val="none" w:sz="0" w:space="0" w:color="auto"/>
          </w:divBdr>
        </w:div>
        <w:div w:id="64645260">
          <w:marLeft w:val="0"/>
          <w:marRight w:val="0"/>
          <w:marTop w:val="0"/>
          <w:marBottom w:val="0"/>
          <w:divBdr>
            <w:top w:val="none" w:sz="0" w:space="0" w:color="auto"/>
            <w:left w:val="none" w:sz="0" w:space="0" w:color="auto"/>
            <w:bottom w:val="none" w:sz="0" w:space="0" w:color="auto"/>
            <w:right w:val="none" w:sz="0" w:space="0" w:color="auto"/>
          </w:divBdr>
        </w:div>
        <w:div w:id="191188864">
          <w:marLeft w:val="0"/>
          <w:marRight w:val="0"/>
          <w:marTop w:val="0"/>
          <w:marBottom w:val="0"/>
          <w:divBdr>
            <w:top w:val="none" w:sz="0" w:space="0" w:color="auto"/>
            <w:left w:val="none" w:sz="0" w:space="0" w:color="auto"/>
            <w:bottom w:val="none" w:sz="0" w:space="0" w:color="auto"/>
            <w:right w:val="none" w:sz="0" w:space="0" w:color="auto"/>
          </w:divBdr>
        </w:div>
        <w:div w:id="196505481">
          <w:marLeft w:val="0"/>
          <w:marRight w:val="0"/>
          <w:marTop w:val="0"/>
          <w:marBottom w:val="0"/>
          <w:divBdr>
            <w:top w:val="none" w:sz="0" w:space="0" w:color="auto"/>
            <w:left w:val="none" w:sz="0" w:space="0" w:color="auto"/>
            <w:bottom w:val="none" w:sz="0" w:space="0" w:color="auto"/>
            <w:right w:val="none" w:sz="0" w:space="0" w:color="auto"/>
          </w:divBdr>
        </w:div>
        <w:div w:id="323290370">
          <w:marLeft w:val="0"/>
          <w:marRight w:val="0"/>
          <w:marTop w:val="0"/>
          <w:marBottom w:val="0"/>
          <w:divBdr>
            <w:top w:val="none" w:sz="0" w:space="0" w:color="auto"/>
            <w:left w:val="none" w:sz="0" w:space="0" w:color="auto"/>
            <w:bottom w:val="none" w:sz="0" w:space="0" w:color="auto"/>
            <w:right w:val="none" w:sz="0" w:space="0" w:color="auto"/>
          </w:divBdr>
        </w:div>
        <w:div w:id="574900488">
          <w:marLeft w:val="0"/>
          <w:marRight w:val="0"/>
          <w:marTop w:val="0"/>
          <w:marBottom w:val="0"/>
          <w:divBdr>
            <w:top w:val="none" w:sz="0" w:space="0" w:color="auto"/>
            <w:left w:val="none" w:sz="0" w:space="0" w:color="auto"/>
            <w:bottom w:val="none" w:sz="0" w:space="0" w:color="auto"/>
            <w:right w:val="none" w:sz="0" w:space="0" w:color="auto"/>
          </w:divBdr>
        </w:div>
        <w:div w:id="633408008">
          <w:marLeft w:val="0"/>
          <w:marRight w:val="0"/>
          <w:marTop w:val="0"/>
          <w:marBottom w:val="0"/>
          <w:divBdr>
            <w:top w:val="none" w:sz="0" w:space="0" w:color="auto"/>
            <w:left w:val="none" w:sz="0" w:space="0" w:color="auto"/>
            <w:bottom w:val="none" w:sz="0" w:space="0" w:color="auto"/>
            <w:right w:val="none" w:sz="0" w:space="0" w:color="auto"/>
          </w:divBdr>
        </w:div>
        <w:div w:id="791946967">
          <w:marLeft w:val="0"/>
          <w:marRight w:val="0"/>
          <w:marTop w:val="0"/>
          <w:marBottom w:val="0"/>
          <w:divBdr>
            <w:top w:val="none" w:sz="0" w:space="0" w:color="auto"/>
            <w:left w:val="none" w:sz="0" w:space="0" w:color="auto"/>
            <w:bottom w:val="none" w:sz="0" w:space="0" w:color="auto"/>
            <w:right w:val="none" w:sz="0" w:space="0" w:color="auto"/>
          </w:divBdr>
        </w:div>
        <w:div w:id="1164904492">
          <w:marLeft w:val="0"/>
          <w:marRight w:val="0"/>
          <w:marTop w:val="0"/>
          <w:marBottom w:val="0"/>
          <w:divBdr>
            <w:top w:val="none" w:sz="0" w:space="0" w:color="auto"/>
            <w:left w:val="none" w:sz="0" w:space="0" w:color="auto"/>
            <w:bottom w:val="none" w:sz="0" w:space="0" w:color="auto"/>
            <w:right w:val="none" w:sz="0" w:space="0" w:color="auto"/>
          </w:divBdr>
        </w:div>
        <w:div w:id="1495294491">
          <w:marLeft w:val="0"/>
          <w:marRight w:val="0"/>
          <w:marTop w:val="0"/>
          <w:marBottom w:val="0"/>
          <w:divBdr>
            <w:top w:val="none" w:sz="0" w:space="0" w:color="auto"/>
            <w:left w:val="none" w:sz="0" w:space="0" w:color="auto"/>
            <w:bottom w:val="none" w:sz="0" w:space="0" w:color="auto"/>
            <w:right w:val="none" w:sz="0" w:space="0" w:color="auto"/>
          </w:divBdr>
        </w:div>
        <w:div w:id="1701591828">
          <w:marLeft w:val="0"/>
          <w:marRight w:val="0"/>
          <w:marTop w:val="0"/>
          <w:marBottom w:val="0"/>
          <w:divBdr>
            <w:top w:val="none" w:sz="0" w:space="0" w:color="auto"/>
            <w:left w:val="none" w:sz="0" w:space="0" w:color="auto"/>
            <w:bottom w:val="none" w:sz="0" w:space="0" w:color="auto"/>
            <w:right w:val="none" w:sz="0" w:space="0" w:color="auto"/>
          </w:divBdr>
        </w:div>
        <w:div w:id="1804274345">
          <w:marLeft w:val="0"/>
          <w:marRight w:val="0"/>
          <w:marTop w:val="0"/>
          <w:marBottom w:val="0"/>
          <w:divBdr>
            <w:top w:val="none" w:sz="0" w:space="0" w:color="auto"/>
            <w:left w:val="none" w:sz="0" w:space="0" w:color="auto"/>
            <w:bottom w:val="none" w:sz="0" w:space="0" w:color="auto"/>
            <w:right w:val="none" w:sz="0" w:space="0" w:color="auto"/>
          </w:divBdr>
        </w:div>
        <w:div w:id="1810437264">
          <w:marLeft w:val="0"/>
          <w:marRight w:val="0"/>
          <w:marTop w:val="0"/>
          <w:marBottom w:val="0"/>
          <w:divBdr>
            <w:top w:val="none" w:sz="0" w:space="0" w:color="auto"/>
            <w:left w:val="none" w:sz="0" w:space="0" w:color="auto"/>
            <w:bottom w:val="none" w:sz="0" w:space="0" w:color="auto"/>
            <w:right w:val="none" w:sz="0" w:space="0" w:color="auto"/>
          </w:divBdr>
        </w:div>
      </w:divsChild>
    </w:div>
    <w:div w:id="1739789457">
      <w:bodyDiv w:val="1"/>
      <w:marLeft w:val="0"/>
      <w:marRight w:val="0"/>
      <w:marTop w:val="0"/>
      <w:marBottom w:val="0"/>
      <w:divBdr>
        <w:top w:val="none" w:sz="0" w:space="0" w:color="auto"/>
        <w:left w:val="none" w:sz="0" w:space="0" w:color="auto"/>
        <w:bottom w:val="none" w:sz="0" w:space="0" w:color="auto"/>
        <w:right w:val="none" w:sz="0" w:space="0" w:color="auto"/>
      </w:divBdr>
    </w:div>
    <w:div w:id="1763060747">
      <w:bodyDiv w:val="1"/>
      <w:marLeft w:val="0"/>
      <w:marRight w:val="0"/>
      <w:marTop w:val="0"/>
      <w:marBottom w:val="0"/>
      <w:divBdr>
        <w:top w:val="none" w:sz="0" w:space="0" w:color="auto"/>
        <w:left w:val="none" w:sz="0" w:space="0" w:color="auto"/>
        <w:bottom w:val="none" w:sz="0" w:space="0" w:color="auto"/>
        <w:right w:val="none" w:sz="0" w:space="0" w:color="auto"/>
      </w:divBdr>
    </w:div>
    <w:div w:id="1857621081">
      <w:bodyDiv w:val="1"/>
      <w:marLeft w:val="0"/>
      <w:marRight w:val="0"/>
      <w:marTop w:val="0"/>
      <w:marBottom w:val="0"/>
      <w:divBdr>
        <w:top w:val="none" w:sz="0" w:space="0" w:color="auto"/>
        <w:left w:val="none" w:sz="0" w:space="0" w:color="auto"/>
        <w:bottom w:val="none" w:sz="0" w:space="0" w:color="auto"/>
        <w:right w:val="none" w:sz="0" w:space="0" w:color="auto"/>
      </w:divBdr>
    </w:div>
    <w:div w:id="1926914320">
      <w:bodyDiv w:val="1"/>
      <w:marLeft w:val="0"/>
      <w:marRight w:val="0"/>
      <w:marTop w:val="0"/>
      <w:marBottom w:val="0"/>
      <w:divBdr>
        <w:top w:val="none" w:sz="0" w:space="0" w:color="auto"/>
        <w:left w:val="none" w:sz="0" w:space="0" w:color="auto"/>
        <w:bottom w:val="none" w:sz="0" w:space="0" w:color="auto"/>
        <w:right w:val="none" w:sz="0" w:space="0" w:color="auto"/>
      </w:divBdr>
      <w:divsChild>
        <w:div w:id="55445477">
          <w:marLeft w:val="0"/>
          <w:marRight w:val="0"/>
          <w:marTop w:val="0"/>
          <w:marBottom w:val="0"/>
          <w:divBdr>
            <w:top w:val="none" w:sz="0" w:space="0" w:color="auto"/>
            <w:left w:val="none" w:sz="0" w:space="0" w:color="auto"/>
            <w:bottom w:val="none" w:sz="0" w:space="0" w:color="auto"/>
            <w:right w:val="none" w:sz="0" w:space="0" w:color="auto"/>
          </w:divBdr>
        </w:div>
        <w:div w:id="72430702">
          <w:marLeft w:val="0"/>
          <w:marRight w:val="0"/>
          <w:marTop w:val="0"/>
          <w:marBottom w:val="0"/>
          <w:divBdr>
            <w:top w:val="none" w:sz="0" w:space="0" w:color="auto"/>
            <w:left w:val="none" w:sz="0" w:space="0" w:color="auto"/>
            <w:bottom w:val="none" w:sz="0" w:space="0" w:color="auto"/>
            <w:right w:val="none" w:sz="0" w:space="0" w:color="auto"/>
          </w:divBdr>
        </w:div>
        <w:div w:id="79719727">
          <w:marLeft w:val="0"/>
          <w:marRight w:val="0"/>
          <w:marTop w:val="0"/>
          <w:marBottom w:val="0"/>
          <w:divBdr>
            <w:top w:val="none" w:sz="0" w:space="0" w:color="auto"/>
            <w:left w:val="none" w:sz="0" w:space="0" w:color="auto"/>
            <w:bottom w:val="none" w:sz="0" w:space="0" w:color="auto"/>
            <w:right w:val="none" w:sz="0" w:space="0" w:color="auto"/>
          </w:divBdr>
        </w:div>
        <w:div w:id="519318549">
          <w:marLeft w:val="0"/>
          <w:marRight w:val="0"/>
          <w:marTop w:val="0"/>
          <w:marBottom w:val="0"/>
          <w:divBdr>
            <w:top w:val="none" w:sz="0" w:space="0" w:color="auto"/>
            <w:left w:val="none" w:sz="0" w:space="0" w:color="auto"/>
            <w:bottom w:val="none" w:sz="0" w:space="0" w:color="auto"/>
            <w:right w:val="none" w:sz="0" w:space="0" w:color="auto"/>
          </w:divBdr>
        </w:div>
        <w:div w:id="551699707">
          <w:marLeft w:val="0"/>
          <w:marRight w:val="0"/>
          <w:marTop w:val="0"/>
          <w:marBottom w:val="0"/>
          <w:divBdr>
            <w:top w:val="none" w:sz="0" w:space="0" w:color="auto"/>
            <w:left w:val="none" w:sz="0" w:space="0" w:color="auto"/>
            <w:bottom w:val="none" w:sz="0" w:space="0" w:color="auto"/>
            <w:right w:val="none" w:sz="0" w:space="0" w:color="auto"/>
          </w:divBdr>
        </w:div>
        <w:div w:id="627853279">
          <w:marLeft w:val="0"/>
          <w:marRight w:val="0"/>
          <w:marTop w:val="0"/>
          <w:marBottom w:val="0"/>
          <w:divBdr>
            <w:top w:val="none" w:sz="0" w:space="0" w:color="auto"/>
            <w:left w:val="none" w:sz="0" w:space="0" w:color="auto"/>
            <w:bottom w:val="none" w:sz="0" w:space="0" w:color="auto"/>
            <w:right w:val="none" w:sz="0" w:space="0" w:color="auto"/>
          </w:divBdr>
        </w:div>
        <w:div w:id="636109835">
          <w:marLeft w:val="0"/>
          <w:marRight w:val="0"/>
          <w:marTop w:val="0"/>
          <w:marBottom w:val="0"/>
          <w:divBdr>
            <w:top w:val="none" w:sz="0" w:space="0" w:color="auto"/>
            <w:left w:val="none" w:sz="0" w:space="0" w:color="auto"/>
            <w:bottom w:val="none" w:sz="0" w:space="0" w:color="auto"/>
            <w:right w:val="none" w:sz="0" w:space="0" w:color="auto"/>
          </w:divBdr>
        </w:div>
        <w:div w:id="698162149">
          <w:marLeft w:val="0"/>
          <w:marRight w:val="0"/>
          <w:marTop w:val="0"/>
          <w:marBottom w:val="0"/>
          <w:divBdr>
            <w:top w:val="none" w:sz="0" w:space="0" w:color="auto"/>
            <w:left w:val="none" w:sz="0" w:space="0" w:color="auto"/>
            <w:bottom w:val="none" w:sz="0" w:space="0" w:color="auto"/>
            <w:right w:val="none" w:sz="0" w:space="0" w:color="auto"/>
          </w:divBdr>
        </w:div>
        <w:div w:id="1073164057">
          <w:marLeft w:val="0"/>
          <w:marRight w:val="0"/>
          <w:marTop w:val="0"/>
          <w:marBottom w:val="0"/>
          <w:divBdr>
            <w:top w:val="none" w:sz="0" w:space="0" w:color="auto"/>
            <w:left w:val="none" w:sz="0" w:space="0" w:color="auto"/>
            <w:bottom w:val="none" w:sz="0" w:space="0" w:color="auto"/>
            <w:right w:val="none" w:sz="0" w:space="0" w:color="auto"/>
          </w:divBdr>
        </w:div>
        <w:div w:id="1702316241">
          <w:marLeft w:val="0"/>
          <w:marRight w:val="0"/>
          <w:marTop w:val="0"/>
          <w:marBottom w:val="0"/>
          <w:divBdr>
            <w:top w:val="none" w:sz="0" w:space="0" w:color="auto"/>
            <w:left w:val="none" w:sz="0" w:space="0" w:color="auto"/>
            <w:bottom w:val="none" w:sz="0" w:space="0" w:color="auto"/>
            <w:right w:val="none" w:sz="0" w:space="0" w:color="auto"/>
          </w:divBdr>
        </w:div>
        <w:div w:id="1787961066">
          <w:marLeft w:val="0"/>
          <w:marRight w:val="0"/>
          <w:marTop w:val="0"/>
          <w:marBottom w:val="0"/>
          <w:divBdr>
            <w:top w:val="none" w:sz="0" w:space="0" w:color="auto"/>
            <w:left w:val="none" w:sz="0" w:space="0" w:color="auto"/>
            <w:bottom w:val="none" w:sz="0" w:space="0" w:color="auto"/>
            <w:right w:val="none" w:sz="0" w:space="0" w:color="auto"/>
          </w:divBdr>
        </w:div>
        <w:div w:id="1807620975">
          <w:marLeft w:val="0"/>
          <w:marRight w:val="0"/>
          <w:marTop w:val="0"/>
          <w:marBottom w:val="0"/>
          <w:divBdr>
            <w:top w:val="none" w:sz="0" w:space="0" w:color="auto"/>
            <w:left w:val="none" w:sz="0" w:space="0" w:color="auto"/>
            <w:bottom w:val="none" w:sz="0" w:space="0" w:color="auto"/>
            <w:right w:val="none" w:sz="0" w:space="0" w:color="auto"/>
          </w:divBdr>
        </w:div>
        <w:div w:id="2103643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GOGeographyDocument" ma:contentTypeID="0x0101002A2DB23D81B146548380C2D46D07660900FEB673DF8A6D4F9187A33DCE3178CA1C008E87C7D30B018248A9293AC300EB1201" ma:contentTypeVersion="7" ma:contentTypeDescription="NGO Geography Document content type" ma:contentTypeScope="" ma:versionID="657aa3972554ead3705cb8dad52b2210">
  <xsd:schema xmlns:xsd="http://www.w3.org/2001/XMLSchema" xmlns:xs="http://www.w3.org/2001/XMLSchema" xmlns:p="http://schemas.microsoft.com/office/2006/metadata/properties" xmlns:ns2="6e13ec62-48f7-44ee-b4e2-3204b9294b7a" xmlns:ns3="557d8cf5-74aa-457a-95db-53615d053f64" xmlns:ns4="3c6078e1-4d23-4f20-b41b-20605bdb1705" targetNamespace="http://schemas.microsoft.com/office/2006/metadata/properties" ma:root="true" ma:fieldsID="6f7ca59ff8e33006b8ed345400d949c9" ns2:_="" ns3:_="" ns4:_="">
    <xsd:import namespace="6e13ec62-48f7-44ee-b4e2-3204b9294b7a"/>
    <xsd:import namespace="557d8cf5-74aa-457a-95db-53615d053f64"/>
    <xsd:import namespace="3c6078e1-4d23-4f20-b41b-20605bdb1705"/>
    <xsd:element name="properties">
      <xsd:complexType>
        <xsd:sequence>
          <xsd:element name="documentManagement">
            <xsd:complexType>
              <xsd:all>
                <xsd:element ref="ns2:FavoriteUsers" minOccurs="0"/>
                <xsd:element ref="ns2:KeyEntities" minOccurs="0"/>
                <xsd:element ref="ns2:NGOOnlineDocumentTypeTaxHTField0" minOccurs="0"/>
                <xsd:element ref="ns3:TaxCatchAll" minOccurs="0"/>
                <xsd:element ref="ns3:TaxCatchAllLabel" minOccurs="0"/>
                <xsd:element ref="ns2:NGOOnlineKeywordsTaxHTField0" minOccurs="0"/>
                <xsd:element ref="ns2:NGOOnlineYearApplied" minOccurs="0"/>
                <xsd:element ref="ns2:NGOOnlineDocumentArchived"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3ec62-48f7-44ee-b4e2-3204b9294b7a"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list="UserInfo" ma:SharePointGroup="0" ma:internalName="Favorite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Entities" ma:index="9" nillable="true" ma:displayName="K" ma:description="Store all entities which this document as a key" ma:hidden="true" ma:internalName="KeyEntities">
      <xsd:simpleType>
        <xsd:restriction base="dms:Note">
          <xsd:maxLength value="255"/>
        </xsd:restriction>
      </xsd:simpleType>
    </xsd:element>
    <xsd:element name="NGOOnlineDocumentTypeTaxHTField0" ma:index="10" nillable="true" ma:taxonomy="true" ma:internalName="NGOOnlineDocumentTypeTaxHTField0" ma:taxonomyFieldName="NGOOnlineDocumentType" ma:displayName="Document types" ma:default="" ma:fieldId="{29f2da93-fcc7-4e86-9d07-0fd34a0597c4}" ma:taxonomyMulti="true" ma:sspId="1530352a-ac41-4fbd-90f0-f75dc8036244" ma:termSetId="ad44615c-f2b7-4a82-a17d-c75494ad1435" ma:anchorId="00000000-0000-0000-0000-000000000000" ma:open="false" ma:isKeyword="false">
      <xsd:complexType>
        <xsd:sequence>
          <xsd:element ref="pc:Terms" minOccurs="0" maxOccurs="1"/>
        </xsd:sequence>
      </xsd:complexType>
    </xsd:element>
    <xsd:element name="NGOOnlineKeywordsTaxHTField0" ma:index="14" nillable="true" ma:taxonomy="true" ma:internalName="NGOOnlineKeywordsTaxHTField0" ma:taxonomyFieldName="NGOOnlineKeywords" ma:displayName="Keywords" ma:default="" ma:fieldId="{cc92bdb0-fa94-4447-acf3-09642a11bf0d}" ma:taxonomyMulti="true" ma:sspId="1530352a-ac41-4fbd-90f0-f75dc8036244" ma:termSetId="41383ddb-a28a-4b67-a86b-c2c48c581025" ma:anchorId="00000000-0000-0000-0000-000000000000" ma:open="true" ma:isKeyword="false">
      <xsd:complexType>
        <xsd:sequence>
          <xsd:element ref="pc:Terms" minOccurs="0" maxOccurs="1"/>
        </xsd:sequence>
      </xsd:complexType>
    </xsd:element>
    <xsd:element name="NGOOnlineYearApplied" ma:index="16" nillable="true" ma:displayName="Applies to year" ma:hidden="true" ma:internalName="NGOOnlineYearApplied">
      <xsd:simpleType>
        <xsd:restriction base="dms:Text"/>
      </xsd:simpleType>
    </xsd:element>
    <xsd:element name="NGOOnlineDocumentArchived" ma:index="17" nillable="true" ma:displayName="Is the document relevant to archive?" ma:hidden="true" ma:internalName="NGOOnlineDocument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7d8cf5-74aa-457a-95db-53615d053f64"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019be933-58a6-4e21-8f99-25525b7f1126}" ma:internalName="TaxCatchAll" ma:showField="CatchAllData" ma:web="6e13ec62-48f7-44ee-b4e2-3204b9294b7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019be933-58a6-4e21-8f99-25525b7f1126}" ma:internalName="TaxCatchAllLabel" ma:readOnly="true" ma:showField="CatchAllDataLabel" ma:web="6e13ec62-48f7-44ee-b4e2-3204b9294b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6078e1-4d23-4f20-b41b-20605bdb1705" elementFormDefault="qualified">
    <xsd:import namespace="http://schemas.microsoft.com/office/2006/documentManagement/types"/>
    <xsd:import namespace="http://schemas.microsoft.com/office/infopath/2007/PartnerControls"/>
    <xsd:element name="lcf76f155ced4ddcb4097134ff3c332f" ma:index="1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GOOnlineKeywordsTaxHTField0 xmlns="6e13ec62-48f7-44ee-b4e2-3204b9294b7a">
      <Terms xmlns="http://schemas.microsoft.com/office/infopath/2007/PartnerControls"/>
    </NGOOnlineKeywordsTaxHTField0>
    <TaxCatchAll xmlns="557d8cf5-74aa-457a-95db-53615d053f64">
      <Value>4899</Value>
    </TaxCatchAll>
    <NGOOnlineDocumentArchived xmlns="6e13ec62-48f7-44ee-b4e2-3204b9294b7a">false</NGOOnlineDocumentArchived>
    <NGOOnlineYearApplied xmlns="6e13ec62-48f7-44ee-b4e2-3204b9294b7a">2025</NGOOnlineYearApplied>
    <NGOOnlineDocumentTypeTaxHTField0 xmlns="6e13ec62-48f7-44ee-b4e2-3204b9294b7a">
      <Terms xmlns="http://schemas.microsoft.com/office/infopath/2007/PartnerControls">
        <TermInfo xmlns="http://schemas.microsoft.com/office/infopath/2007/PartnerControls">
          <TermName xmlns="http://schemas.microsoft.com/office/infopath/2007/PartnerControls">Terms of Reference (TOR)</TermName>
          <TermId xmlns="http://schemas.microsoft.com/office/infopath/2007/PartnerControls">2f7bcb91-3fca-4653-85e2-c051ff1b5470</TermId>
        </TermInfo>
      </Terms>
    </NGOOnlineDocumentTypeTaxHTField0>
    <FavoriteUsers xmlns="6e13ec62-48f7-44ee-b4e2-3204b9294b7a">
      <UserInfo>
        <DisplayName/>
        <AccountId xsi:nil="true"/>
        <AccountType/>
      </UserInfo>
    </FavoriteUsers>
    <KeyEntities xmlns="6e13ec62-48f7-44ee-b4e2-3204b9294b7a" xsi:nil="true"/>
    <lcf76f155ced4ddcb4097134ff3c332f xmlns="3c6078e1-4d23-4f20-b41b-20605bdb170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46446-E1ED-4796-ACCE-FBFB5C3EF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3ec62-48f7-44ee-b4e2-3204b9294b7a"/>
    <ds:schemaRef ds:uri="557d8cf5-74aa-457a-95db-53615d053f64"/>
    <ds:schemaRef ds:uri="3c6078e1-4d23-4f20-b41b-20605bdb1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A212A-523A-4606-9A67-607DF98BCFC8}">
  <ds:schemaRefs>
    <ds:schemaRef ds:uri="http://schemas.microsoft.com/office/2006/metadata/properties"/>
    <ds:schemaRef ds:uri="http://schemas.microsoft.com/office/infopath/2007/PartnerControls"/>
    <ds:schemaRef ds:uri="6e13ec62-48f7-44ee-b4e2-3204b9294b7a"/>
    <ds:schemaRef ds:uri="557d8cf5-74aa-457a-95db-53615d053f64"/>
    <ds:schemaRef ds:uri="3c6078e1-4d23-4f20-b41b-20605bdb1705"/>
  </ds:schemaRefs>
</ds:datastoreItem>
</file>

<file path=customXml/itemProps3.xml><?xml version="1.0" encoding="utf-8"?>
<ds:datastoreItem xmlns:ds="http://schemas.openxmlformats.org/officeDocument/2006/customXml" ds:itemID="{77D1DF00-3152-45D4-8B08-BD3539911A00}">
  <ds:schemaRefs>
    <ds:schemaRef ds:uri="http://schemas.openxmlformats.org/officeDocument/2006/bibliography"/>
  </ds:schemaRefs>
</ds:datastoreItem>
</file>

<file path=customXml/itemProps4.xml><?xml version="1.0" encoding="utf-8"?>
<ds:datastoreItem xmlns:ds="http://schemas.openxmlformats.org/officeDocument/2006/customXml" ds:itemID="{D9B91AB5-9C36-4F0D-93EA-325B969F64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2538</Words>
  <Characters>14469</Characters>
  <Application>Microsoft Office Word</Application>
  <DocSecurity>0</DocSecurity>
  <Lines>120</Lines>
  <Paragraphs>33</Paragraphs>
  <ScaleCrop>false</ScaleCrop>
  <Company/>
  <LinksUpToDate>false</LinksUpToDate>
  <CharactersWithSpaces>16974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Rehana Mughal</dc:creator>
  <cp:keywords/>
  <dc:description/>
  <cp:lastModifiedBy>Hassan  Omar</cp:lastModifiedBy>
  <cp:revision>2</cp:revision>
  <cp:lastPrinted>2024-11-04T17:20:00Z</cp:lastPrinted>
  <dcterms:created xsi:type="dcterms:W3CDTF">2025-03-26T10:37:00Z</dcterms:created>
  <dcterms:modified xsi:type="dcterms:W3CDTF">2025-03-26T10:37:00Z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021b2bc863574418a88b5727b2c2d0e844d2d6745ab25d4ae030727ade64c4e9</vt:lpwstr>
  </property>
  <property fmtid="{D5CDD505-2E9C-101B-9397-08002B2CF9AE}" pid="3" name="ContentTypeId">
    <vt:lpwstr>0x0101002A2DB23D81B146548380C2D46D07660900FEB673DF8A6D4F9187A33DCE3178CA1C008E87C7D30B018248A9293AC300EB1201</vt:lpwstr>
  </property>
  <property fmtid="{D5CDD505-2E9C-101B-9397-08002B2CF9AE}" pid="4" name="NGOOnlinePriorityGroup">
    <vt:lpwstr/>
  </property>
  <property fmtid="{D5CDD505-2E9C-101B-9397-08002B2CF9AE}" pid="5" name="NGOOnlinePriorityGroupTaxHTField0">
    <vt:lpwstr/>
  </property>
  <property fmtid="{D5CDD505-2E9C-101B-9397-08002B2CF9AE}" pid="6" name="NGOOnlineKeywords">
    <vt:lpwstr/>
  </property>
  <property fmtid="{D5CDD505-2E9C-101B-9397-08002B2CF9AE}" pid="7" name="NGOOnlineDocumentType">
    <vt:lpwstr>4899;#Terms of Reference (TOR)|2f7bcb91-3fca-4653-85e2-c051ff1b5470</vt:lpwstr>
  </property>
  <property fmtid="{D5CDD505-2E9C-101B-9397-08002B2CF9AE}" pid="8" name="MediaServiceImageTags">
    <vt:lpwstr/>
  </property>
  <property fmtid="{D5CDD505-2E9C-101B-9397-08002B2CF9AE}" pid="9" name="NGOOnlineDocumentOwner">
    <vt:lpwstr/>
  </property>
  <property fmtid="{D5CDD505-2E9C-101B-9397-08002B2CF9AE}" pid="10" name="LinkedDocumentUrl">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URL">
    <vt:lpwstr/>
  </property>
  <property fmtid="{D5CDD505-2E9C-101B-9397-08002B2CF9AE}" pid="16" name="xd_Signature">
    <vt:bool>false</vt:bool>
  </property>
  <property fmtid="{D5CDD505-2E9C-101B-9397-08002B2CF9AE}" pid="17" name="LinkedDocumentTitle">
    <vt:lpwstr/>
  </property>
  <property fmtid="{D5CDD505-2E9C-101B-9397-08002B2CF9AE}" pid="18" name="TriggerFlowInfo">
    <vt:lpwstr/>
  </property>
</Properties>
</file>